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15A" w:rsidRPr="00B55935" w:rsidRDefault="00AE115A" w:rsidP="00AE115A">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#AH1807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54C2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R4-18</w:t>
      </w:r>
      <w:r w:rsidR="00A90FF3">
        <w:rPr>
          <w:rFonts w:ascii="Calibri" w:eastAsia="新細明體" w:hAnsi="Calibri" w:cs="Arial"/>
          <w:noProof w:val="0"/>
          <w:sz w:val="24"/>
          <w:szCs w:val="24"/>
          <w:lang w:eastAsia="ja-JP"/>
        </w:rPr>
        <w:t>0</w:t>
      </w:r>
      <w:r w:rsidR="00154C2A">
        <w:rPr>
          <w:rFonts w:ascii="Calibri" w:eastAsia="新細明體" w:hAnsi="Calibri" w:cs="Arial"/>
          <w:noProof w:val="0"/>
          <w:sz w:val="24"/>
          <w:szCs w:val="24"/>
          <w:lang w:eastAsia="ja-JP"/>
        </w:rPr>
        <w:t>8</w:t>
      </w:r>
      <w:r w:rsidR="00A90FF3">
        <w:rPr>
          <w:rFonts w:ascii="Calibri" w:eastAsia="新細明體" w:hAnsi="Calibri" w:cs="Arial"/>
          <w:noProof w:val="0"/>
          <w:sz w:val="24"/>
          <w:szCs w:val="24"/>
          <w:lang w:eastAsia="ja-JP"/>
        </w:rPr>
        <w:t>837</w:t>
      </w:r>
    </w:p>
    <w:p w:rsidR="00AE115A" w:rsidRPr="00B55935" w:rsidRDefault="00AE115A" w:rsidP="00AE115A">
      <w:pPr>
        <w:tabs>
          <w:tab w:val="left" w:pos="1985"/>
        </w:tabs>
        <w:jc w:val="both"/>
        <w:rPr>
          <w:rFonts w:eastAsia="MS Mincho" w:cs="Arial"/>
          <w:b/>
          <w:bCs/>
          <w:color w:val="0D0D0D"/>
          <w:szCs w:val="20"/>
          <w:lang w:val="en-GB" w:eastAsia="en-US"/>
        </w:rPr>
      </w:pPr>
      <w:r>
        <w:rPr>
          <w:rFonts w:cs="Arial"/>
          <w:b/>
          <w:lang w:eastAsia="ja-JP"/>
        </w:rPr>
        <w:t>Montreal</w:t>
      </w:r>
      <w:r w:rsidRPr="00B55935">
        <w:rPr>
          <w:rFonts w:cs="Arial"/>
          <w:b/>
          <w:lang w:eastAsia="ja-JP"/>
        </w:rPr>
        <w:t>,</w:t>
      </w:r>
      <w:r>
        <w:rPr>
          <w:rFonts w:cs="Arial"/>
          <w:b/>
          <w:lang w:eastAsia="ja-JP"/>
        </w:rPr>
        <w:t xml:space="preserve"> Canada</w:t>
      </w:r>
      <w:r w:rsidRPr="00B55935">
        <w:rPr>
          <w:rFonts w:cs="Arial"/>
          <w:b/>
          <w:lang w:eastAsia="ja-JP"/>
        </w:rPr>
        <w:t xml:space="preserve">, </w:t>
      </w:r>
      <w:r>
        <w:rPr>
          <w:rFonts w:cs="Arial"/>
          <w:b/>
          <w:lang w:eastAsia="ja-JP"/>
        </w:rPr>
        <w:t>July</w:t>
      </w:r>
      <w:r w:rsidRPr="00B55935">
        <w:rPr>
          <w:rFonts w:cs="Arial"/>
          <w:b/>
          <w:lang w:eastAsia="ja-JP"/>
        </w:rPr>
        <w:t xml:space="preserve"> </w:t>
      </w:r>
      <w:r>
        <w:rPr>
          <w:rFonts w:cs="Arial"/>
          <w:b/>
          <w:lang w:eastAsia="ja-JP"/>
        </w:rPr>
        <w:t>2</w:t>
      </w:r>
      <w:r w:rsidRPr="00967599">
        <w:rPr>
          <w:rFonts w:cs="Arial"/>
          <w:b/>
          <w:vertAlign w:val="superscript"/>
          <w:lang w:eastAsia="ja-JP"/>
        </w:rPr>
        <w:t>nd</w:t>
      </w:r>
      <w:r>
        <w:rPr>
          <w:rFonts w:cs="Arial"/>
          <w:b/>
          <w:lang w:eastAsia="ja-JP"/>
        </w:rPr>
        <w:t xml:space="preserve"> </w:t>
      </w:r>
      <w:r w:rsidRPr="00B55935">
        <w:rPr>
          <w:rFonts w:cs="Arial"/>
          <w:b/>
          <w:lang w:eastAsia="ja-JP"/>
        </w:rPr>
        <w:t>–</w:t>
      </w:r>
      <w:r>
        <w:rPr>
          <w:rFonts w:cs="Arial"/>
          <w:b/>
          <w:lang w:eastAsia="ja-JP"/>
        </w:rPr>
        <w:t>6</w:t>
      </w:r>
      <w:r w:rsidRPr="00191CCD">
        <w:rPr>
          <w:rFonts w:cs="Arial"/>
          <w:b/>
          <w:vertAlign w:val="superscript"/>
          <w:lang w:eastAsia="ja-JP"/>
        </w:rPr>
        <w:t>th</w:t>
      </w:r>
      <w:r>
        <w:rPr>
          <w:rFonts w:cs="Arial"/>
          <w:b/>
          <w:lang w:eastAsia="ja-JP"/>
        </w:rPr>
        <w:t>, 2018</w:t>
      </w:r>
    </w:p>
    <w:p w:rsidR="00AE115A" w:rsidRPr="003B3FE2" w:rsidRDefault="00AE115A" w:rsidP="00AE115A">
      <w:pPr>
        <w:pStyle w:val="a3"/>
        <w:rPr>
          <w:rFonts w:ascii="Calibri" w:hAnsi="Calibri"/>
          <w:bCs/>
          <w:noProof w:val="0"/>
          <w:sz w:val="24"/>
          <w:lang w:val="en-GB" w:eastAsia="ja-JP"/>
        </w:rPr>
      </w:pPr>
    </w:p>
    <w:p w:rsidR="00AE115A" w:rsidRPr="00FD1290" w:rsidRDefault="00AE115A" w:rsidP="00AE115A">
      <w:pPr>
        <w:rPr>
          <w:rFonts w:cs="Arial"/>
          <w:b/>
          <w:bCs/>
          <w:sz w:val="24"/>
          <w:szCs w:val="20"/>
        </w:rPr>
      </w:pPr>
      <w:r>
        <w:rPr>
          <w:rFonts w:cs="Arial"/>
          <w:b/>
          <w:bCs/>
          <w:sz w:val="24"/>
        </w:rPr>
        <w:t>Agenda item:            5.2.8.4</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91CCD">
        <w:rPr>
          <w:b/>
          <w:bCs/>
          <w:sz w:val="24"/>
          <w:szCs w:val="24"/>
        </w:rPr>
        <w:t>Interruption Due to BWP Switching</w:t>
      </w:r>
      <w:r w:rsidR="00E679C3">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5A0D71"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In </w:t>
      </w:r>
      <w:r w:rsidR="004708EF" w:rsidRPr="00BF44DE">
        <w:rPr>
          <w:rFonts w:asciiTheme="minorHAnsi" w:eastAsiaTheme="minorEastAsia" w:hAnsiTheme="minorHAnsi" w:cstheme="minorBidi"/>
          <w:b w:val="0"/>
          <w:sz w:val="22"/>
          <w:szCs w:val="22"/>
          <w:lang w:val="en-US" w:eastAsia="zh-TW"/>
        </w:rPr>
        <w:t xml:space="preserve">last RAN4 meeting, </w:t>
      </w:r>
      <w:r w:rsidR="00191CCD">
        <w:rPr>
          <w:rFonts w:asciiTheme="minorHAnsi" w:eastAsiaTheme="minorEastAsia" w:hAnsiTheme="minorHAnsi" w:cstheme="minorBidi"/>
          <w:b w:val="0"/>
          <w:sz w:val="22"/>
          <w:szCs w:val="22"/>
          <w:lang w:val="en-US" w:eastAsia="zh-TW"/>
        </w:rPr>
        <w:t xml:space="preserve">a WF [1] was agreed </w:t>
      </w:r>
      <w:r w:rsidR="00466693">
        <w:rPr>
          <w:rFonts w:asciiTheme="minorHAnsi" w:eastAsiaTheme="minorEastAsia" w:hAnsiTheme="minorHAnsi" w:cstheme="minorBidi"/>
          <w:b w:val="0"/>
          <w:sz w:val="22"/>
          <w:szCs w:val="22"/>
          <w:lang w:val="en-US" w:eastAsia="zh-TW"/>
        </w:rPr>
        <w:t>on requirements for BWP switching. The part relevant to interruption is captured below:</w:t>
      </w:r>
    </w:p>
    <w:tbl>
      <w:tblPr>
        <w:tblStyle w:val="ad"/>
        <w:tblW w:w="0" w:type="auto"/>
        <w:tblInd w:w="-5" w:type="dxa"/>
        <w:tblLook w:val="04A0" w:firstRow="1" w:lastRow="0" w:firstColumn="1" w:lastColumn="0" w:noHBand="0" w:noVBand="1"/>
      </w:tblPr>
      <w:tblGrid>
        <w:gridCol w:w="9634"/>
      </w:tblGrid>
      <w:tr w:rsidR="004708EF" w:rsidRPr="00191CCD" w:rsidTr="00AC359E">
        <w:tc>
          <w:tcPr>
            <w:tcW w:w="9634" w:type="dxa"/>
          </w:tcPr>
          <w:p w:rsidR="00784C87" w:rsidRPr="00466693" w:rsidRDefault="00947EB6" w:rsidP="00466693">
            <w:pPr>
              <w:pStyle w:val="a9"/>
              <w:numPr>
                <w:ilvl w:val="0"/>
                <w:numId w:val="41"/>
              </w:numPr>
              <w:rPr>
                <w:sz w:val="20"/>
              </w:rPr>
            </w:pPr>
            <w:r w:rsidRPr="00466693">
              <w:rPr>
                <w:sz w:val="20"/>
                <w:lang w:val="en-GB"/>
              </w:rPr>
              <w:t>Interruption occurs other serving cells for scenarios 1, 2, 3</w:t>
            </w:r>
          </w:p>
          <w:p w:rsidR="00784C87" w:rsidRPr="00466693" w:rsidRDefault="00947EB6" w:rsidP="00466693">
            <w:pPr>
              <w:pStyle w:val="a9"/>
              <w:numPr>
                <w:ilvl w:val="1"/>
                <w:numId w:val="41"/>
              </w:numPr>
              <w:rPr>
                <w:sz w:val="20"/>
              </w:rPr>
            </w:pPr>
            <w:r w:rsidRPr="00466693">
              <w:rPr>
                <w:sz w:val="20"/>
                <w:lang w:val="en-GB"/>
              </w:rPr>
              <w:t>FFS whether interruption can be avoided for those serving cells in different FR to the BWP-switching cell, if UE claimed the supporting of per-FR gap</w:t>
            </w:r>
          </w:p>
          <w:p w:rsidR="00784C87" w:rsidRPr="00466693" w:rsidRDefault="00947EB6" w:rsidP="00466693">
            <w:pPr>
              <w:pStyle w:val="a9"/>
              <w:numPr>
                <w:ilvl w:val="1"/>
                <w:numId w:val="41"/>
              </w:numPr>
              <w:rPr>
                <w:sz w:val="20"/>
              </w:rPr>
            </w:pPr>
            <w:r w:rsidRPr="00466693">
              <w:rPr>
                <w:sz w:val="20"/>
              </w:rPr>
              <w:t xml:space="preserve">FFS the interruption duration </w:t>
            </w:r>
          </w:p>
          <w:p w:rsidR="00784C87" w:rsidRPr="00466693" w:rsidRDefault="00947EB6" w:rsidP="00466693">
            <w:pPr>
              <w:pStyle w:val="a9"/>
              <w:numPr>
                <w:ilvl w:val="2"/>
                <w:numId w:val="41"/>
              </w:numPr>
              <w:rPr>
                <w:sz w:val="20"/>
              </w:rPr>
            </w:pPr>
            <w:r w:rsidRPr="00466693">
              <w:rPr>
                <w:sz w:val="20"/>
              </w:rPr>
              <w:t xml:space="preserve">Option A: the same switching delay. </w:t>
            </w:r>
          </w:p>
          <w:p w:rsidR="00784C87" w:rsidRPr="00466693" w:rsidRDefault="00947EB6" w:rsidP="00466693">
            <w:pPr>
              <w:pStyle w:val="a9"/>
              <w:numPr>
                <w:ilvl w:val="2"/>
                <w:numId w:val="41"/>
              </w:numPr>
              <w:rPr>
                <w:sz w:val="20"/>
              </w:rPr>
            </w:pPr>
            <w:r w:rsidRPr="00466693">
              <w:rPr>
                <w:sz w:val="20"/>
              </w:rPr>
              <w:t>Option B: re-use the conclusion in Scell activation</w:t>
            </w:r>
          </w:p>
          <w:p w:rsidR="00784C87" w:rsidRPr="00466693" w:rsidRDefault="00947EB6" w:rsidP="00466693">
            <w:pPr>
              <w:pStyle w:val="a9"/>
              <w:numPr>
                <w:ilvl w:val="2"/>
                <w:numId w:val="41"/>
              </w:numPr>
              <w:rPr>
                <w:sz w:val="20"/>
              </w:rPr>
            </w:pPr>
            <w:r w:rsidRPr="00466693">
              <w:rPr>
                <w:sz w:val="20"/>
              </w:rPr>
              <w:t>Option C: other values</w:t>
            </w:r>
          </w:p>
          <w:p w:rsidR="00784C87" w:rsidRPr="00466693" w:rsidRDefault="00947EB6" w:rsidP="00466693">
            <w:pPr>
              <w:pStyle w:val="a9"/>
              <w:numPr>
                <w:ilvl w:val="0"/>
                <w:numId w:val="41"/>
              </w:numPr>
              <w:rPr>
                <w:sz w:val="20"/>
              </w:rPr>
            </w:pPr>
            <w:r w:rsidRPr="00466693">
              <w:rPr>
                <w:sz w:val="20"/>
              </w:rPr>
              <w:t xml:space="preserve">FFS </w:t>
            </w:r>
            <w:r w:rsidRPr="00466693">
              <w:rPr>
                <w:sz w:val="20"/>
                <w:lang w:val="en-GB"/>
              </w:rPr>
              <w:t xml:space="preserve">whether </w:t>
            </w:r>
            <w:r w:rsidRPr="00466693">
              <w:rPr>
                <w:sz w:val="20"/>
              </w:rPr>
              <w:t>Interruption occurs for scenario 4 and if so, what the victim cells are.</w:t>
            </w:r>
          </w:p>
          <w:p w:rsidR="004708EF" w:rsidRPr="00466693" w:rsidRDefault="00947EB6" w:rsidP="00466693">
            <w:pPr>
              <w:pStyle w:val="a9"/>
              <w:numPr>
                <w:ilvl w:val="0"/>
                <w:numId w:val="41"/>
              </w:numPr>
              <w:rPr>
                <w:sz w:val="20"/>
              </w:rPr>
            </w:pPr>
            <w:r w:rsidRPr="00466693">
              <w:rPr>
                <w:sz w:val="20"/>
              </w:rPr>
              <w:t xml:space="preserve">FFS </w:t>
            </w:r>
            <w:r w:rsidRPr="00466693">
              <w:rPr>
                <w:sz w:val="20"/>
                <w:lang w:val="en-GB"/>
              </w:rPr>
              <w:t xml:space="preserve">whether </w:t>
            </w:r>
            <w:r w:rsidRPr="00466693">
              <w:rPr>
                <w:sz w:val="20"/>
              </w:rPr>
              <w:t>any baseband parameters in the BWP configuration in TS38.331 will cause interruption and if so, what the victim cells are.</w:t>
            </w:r>
          </w:p>
        </w:tc>
      </w:tr>
    </w:tbl>
    <w:p w:rsidR="00611FCD" w:rsidRPr="00BF44DE" w:rsidRDefault="00466693" w:rsidP="00BF44DE">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In this paper, we discuss above issues.</w:t>
      </w:r>
      <w:r w:rsidR="004708EF" w:rsidRPr="00BF44DE">
        <w:rPr>
          <w:rFonts w:asciiTheme="minorHAnsi" w:eastAsiaTheme="minorEastAsia" w:hAnsiTheme="minorHAnsi" w:cstheme="minorBidi"/>
          <w:b w:val="0"/>
          <w:sz w:val="22"/>
          <w:szCs w:val="22"/>
          <w:lang w:val="en-US" w:eastAsia="zh-TW"/>
        </w:rPr>
        <w:t xml:space="preserv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466693" w:rsidRPr="00466693">
        <w:rPr>
          <w:rFonts w:ascii="Calibri" w:eastAsia="新細明體" w:hAnsi="Calibri" w:cs="Calibri"/>
          <w:b/>
          <w:sz w:val="24"/>
          <w:szCs w:val="24"/>
          <w:lang w:eastAsia="zh-TW"/>
        </w:rPr>
        <w:t>Interruption for scenarios 1, 2, 3</w:t>
      </w:r>
    </w:p>
    <w:p w:rsidR="00FD7E4E" w:rsidRPr="00FC37B4" w:rsidRDefault="00FC37B4" w:rsidP="00942953">
      <w:pPr>
        <w:jc w:val="both"/>
        <w:rPr>
          <w:b/>
          <w:sz w:val="20"/>
          <w:u w:val="single"/>
        </w:rPr>
      </w:pPr>
      <w:r w:rsidRPr="00FC37B4">
        <w:rPr>
          <w:b/>
          <w:sz w:val="20"/>
          <w:u w:val="single"/>
        </w:rPr>
        <w:t>per-FR gap</w:t>
      </w:r>
    </w:p>
    <w:p w:rsidR="00466693" w:rsidRDefault="0027665E" w:rsidP="00942953">
      <w:pPr>
        <w:jc w:val="both"/>
        <w:rPr>
          <w:sz w:val="20"/>
        </w:rPr>
      </w:pPr>
      <w:r>
        <w:rPr>
          <w:sz w:val="20"/>
        </w:rPr>
        <w:t>The capability of per-FR gap was discussed in RAN4#84b meeting. In our understanding, to support per-FR gap UE not only has to ensure no interference between RF chains in FR1 and RF chains in FR2 but also need to prepare sufficient baseband searchers to because sometimes the inter-frequency measurements in FR1 and FR2 may come in the same time. Therefore, if UE already claimed the support of per-FR gap, UE should have no problem in avoiding in</w:t>
      </w:r>
      <w:r w:rsidR="00FC37B4">
        <w:rPr>
          <w:sz w:val="20"/>
        </w:rPr>
        <w:t>terruption in one FR when the BWP-switching cell is in the other FR.</w:t>
      </w:r>
    </w:p>
    <w:p w:rsidR="0027665E" w:rsidRPr="00FC37B4" w:rsidRDefault="00FC37B4" w:rsidP="00FC37B4">
      <w:pPr>
        <w:pStyle w:val="a5"/>
        <w:rPr>
          <w:lang w:val="en-US"/>
        </w:rPr>
      </w:pPr>
      <w:bookmarkStart w:id="6" w:name="_Ref517550175"/>
      <w:r>
        <w:t xml:space="preserve">Proposal </w:t>
      </w:r>
      <w:r w:rsidR="001541F0">
        <w:fldChar w:fldCharType="begin"/>
      </w:r>
      <w:r w:rsidR="001541F0">
        <w:instrText xml:space="preserve"> SEQ Proposal \* ARABIC </w:instrText>
      </w:r>
      <w:r w:rsidR="001541F0">
        <w:fldChar w:fldCharType="separate"/>
      </w:r>
      <w:r w:rsidR="00924C4F">
        <w:rPr>
          <w:noProof/>
        </w:rPr>
        <w:t>1</w:t>
      </w:r>
      <w:r w:rsidR="001541F0">
        <w:rPr>
          <w:noProof/>
        </w:rPr>
        <w:fldChar w:fldCharType="end"/>
      </w:r>
      <w:r>
        <w:rPr>
          <w:lang w:val="en-US"/>
        </w:rPr>
        <w:t>: I</w:t>
      </w:r>
      <w:r w:rsidRPr="00FC37B4">
        <w:rPr>
          <w:lang w:val="en-US"/>
        </w:rPr>
        <w:t>f UE claimed the supporting of per-FR gap</w:t>
      </w:r>
      <w:r>
        <w:rPr>
          <w:lang w:val="en-US"/>
        </w:rPr>
        <w:t xml:space="preserve">, </w:t>
      </w:r>
      <w:r w:rsidRPr="00FC37B4">
        <w:rPr>
          <w:lang w:val="en-US"/>
        </w:rPr>
        <w:t>interruption can be avoided for those serving cells in different FR to the BWP-switching cell</w:t>
      </w:r>
      <w:r>
        <w:rPr>
          <w:lang w:val="en-US"/>
        </w:rPr>
        <w:t>.</w:t>
      </w:r>
      <w:bookmarkEnd w:id="6"/>
    </w:p>
    <w:p w:rsidR="0027665E" w:rsidRDefault="0027665E" w:rsidP="00942953">
      <w:pPr>
        <w:jc w:val="both"/>
        <w:rPr>
          <w:sz w:val="20"/>
          <w:u w:val="single"/>
        </w:rPr>
      </w:pPr>
    </w:p>
    <w:p w:rsidR="00466693" w:rsidRPr="00B90ACF" w:rsidRDefault="00466693" w:rsidP="00942953">
      <w:pPr>
        <w:jc w:val="both"/>
        <w:rPr>
          <w:b/>
          <w:sz w:val="20"/>
          <w:u w:val="single"/>
        </w:rPr>
      </w:pPr>
      <w:r w:rsidRPr="00B90ACF">
        <w:rPr>
          <w:b/>
          <w:sz w:val="20"/>
          <w:u w:val="single"/>
        </w:rPr>
        <w:t>Interruption duration</w:t>
      </w:r>
    </w:p>
    <w:p w:rsidR="00FC37B4" w:rsidRDefault="00FC37B4" w:rsidP="00FC37B4">
      <w:pPr>
        <w:jc w:val="both"/>
        <w:rPr>
          <w:sz w:val="20"/>
        </w:rPr>
      </w:pPr>
      <w:r>
        <w:rPr>
          <w:sz w:val="20"/>
        </w:rPr>
        <w:t xml:space="preserve">To determine the interruption duration, the first thing is to first determine the duration of time needed by UE. This is illustrated as the red arrow in </w:t>
      </w:r>
      <w:r>
        <w:rPr>
          <w:sz w:val="20"/>
        </w:rPr>
        <w:fldChar w:fldCharType="begin"/>
      </w:r>
      <w:r>
        <w:rPr>
          <w:sz w:val="20"/>
        </w:rPr>
        <w:instrText xml:space="preserve"> REF _Ref513114228 \h </w:instrText>
      </w:r>
      <w:r>
        <w:rPr>
          <w:sz w:val="20"/>
        </w:rPr>
      </w:r>
      <w:r>
        <w:rPr>
          <w:sz w:val="20"/>
        </w:rPr>
        <w:fldChar w:fldCharType="separate"/>
      </w:r>
      <w:r w:rsidR="00924C4F">
        <w:t xml:space="preserve">Figure </w:t>
      </w:r>
      <w:r w:rsidR="00924C4F">
        <w:rPr>
          <w:noProof/>
        </w:rPr>
        <w:t>1</w:t>
      </w:r>
      <w:r>
        <w:rPr>
          <w:sz w:val="20"/>
        </w:rPr>
        <w:fldChar w:fldCharType="end"/>
      </w:r>
      <w:r>
        <w:rPr>
          <w:sz w:val="20"/>
        </w:rPr>
        <w:t>. After calculating and loading the RF and/or baseband parameters, UE applies the new parameter for the new BWP. Interruptions occur in the time duration (T</w:t>
      </w:r>
      <w:r w:rsidRPr="00F603ED">
        <w:rPr>
          <w:sz w:val="20"/>
          <w:vertAlign w:val="subscript"/>
        </w:rPr>
        <w:t>apply</w:t>
      </w:r>
      <w:r>
        <w:rPr>
          <w:sz w:val="20"/>
        </w:rPr>
        <w:t xml:space="preserve">) when UE is applying the new parameters, e.g., based on the new parameters, RF is re-tuned and baseband is re-arranged. </w:t>
      </w:r>
      <w:r w:rsidR="00924C4F">
        <w:rPr>
          <w:sz w:val="20"/>
        </w:rPr>
        <w:t>With a common understanding on T</w:t>
      </w:r>
      <w:r w:rsidR="00924C4F" w:rsidRPr="00F603ED">
        <w:rPr>
          <w:sz w:val="20"/>
          <w:vertAlign w:val="subscript"/>
        </w:rPr>
        <w:t>apply</w:t>
      </w:r>
      <w:r w:rsidR="00924C4F" w:rsidRPr="00924C4F">
        <w:rPr>
          <w:sz w:val="20"/>
        </w:rPr>
        <w:t xml:space="preserve"> on the </w:t>
      </w:r>
      <w:r w:rsidR="00924C4F">
        <w:rPr>
          <w:sz w:val="20"/>
        </w:rPr>
        <w:t>BWP-switching cell, it is easy to calculate the interruption time on synchronous other CC and asynchronous CC.</w:t>
      </w:r>
    </w:p>
    <w:p w:rsidR="00FC37B4" w:rsidRDefault="00FC37B4" w:rsidP="00FC37B4">
      <w:pPr>
        <w:jc w:val="center"/>
        <w:rPr>
          <w:sz w:val="20"/>
        </w:rPr>
      </w:pPr>
      <w:r w:rsidRPr="002D655E">
        <w:rPr>
          <w:noProof/>
          <w:lang w:eastAsia="zh-TW"/>
        </w:rPr>
        <w:lastRenderedPageBreak/>
        <w:drawing>
          <wp:inline distT="0" distB="0" distL="0" distR="0" wp14:anchorId="58F0396E" wp14:editId="12D81D03">
            <wp:extent cx="5043601" cy="2173127"/>
            <wp:effectExtent l="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57180" cy="2178978"/>
                    </a:xfrm>
                    <a:prstGeom prst="rect">
                      <a:avLst/>
                    </a:prstGeom>
                    <a:noFill/>
                    <a:ln>
                      <a:noFill/>
                    </a:ln>
                  </pic:spPr>
                </pic:pic>
              </a:graphicData>
            </a:graphic>
          </wp:inline>
        </w:drawing>
      </w:r>
    </w:p>
    <w:p w:rsidR="00FC37B4" w:rsidRPr="00B069FE" w:rsidRDefault="00FC37B4" w:rsidP="00FC37B4">
      <w:pPr>
        <w:pStyle w:val="a5"/>
        <w:jc w:val="center"/>
        <w:rPr>
          <w:lang w:val="en-US"/>
        </w:rPr>
      </w:pPr>
      <w:bookmarkStart w:id="7" w:name="_Ref513114228"/>
      <w:r>
        <w:t xml:space="preserve">Figure </w:t>
      </w:r>
      <w:r>
        <w:fldChar w:fldCharType="begin"/>
      </w:r>
      <w:r>
        <w:instrText xml:space="preserve"> SEQ Figure \* ARABIC </w:instrText>
      </w:r>
      <w:r>
        <w:fldChar w:fldCharType="separate"/>
      </w:r>
      <w:r w:rsidR="00924C4F">
        <w:rPr>
          <w:noProof/>
        </w:rPr>
        <w:t>1</w:t>
      </w:r>
      <w:r>
        <w:rPr>
          <w:noProof/>
        </w:rPr>
        <w:fldChar w:fldCharType="end"/>
      </w:r>
      <w:bookmarkEnd w:id="7"/>
      <w:r>
        <w:rPr>
          <w:lang w:val="en-US"/>
        </w:rPr>
        <w:t>. Interruption caused by BWP-switching CC to other CCs</w:t>
      </w:r>
    </w:p>
    <w:p w:rsidR="00924C4F" w:rsidRDefault="00924C4F" w:rsidP="00924C4F">
      <w:pPr>
        <w:jc w:val="both"/>
        <w:rPr>
          <w:sz w:val="20"/>
        </w:rPr>
      </w:pPr>
    </w:p>
    <w:p w:rsidR="00924C4F" w:rsidRDefault="00924C4F" w:rsidP="00924C4F">
      <w:pPr>
        <w:jc w:val="both"/>
        <w:rPr>
          <w:sz w:val="20"/>
        </w:rPr>
      </w:pPr>
      <w:r>
        <w:rPr>
          <w:sz w:val="20"/>
        </w:rPr>
        <w:t>If only RF is to be considered, we can assume T</w:t>
      </w:r>
      <w:r w:rsidRPr="00F603ED">
        <w:rPr>
          <w:sz w:val="20"/>
          <w:vertAlign w:val="subscript"/>
        </w:rPr>
        <w:t>apply</w:t>
      </w:r>
      <w:r>
        <w:rPr>
          <w:sz w:val="20"/>
        </w:rPr>
        <w:t xml:space="preserve"> is roughly 250us. However, BWP-specific configurations involve not only RF-related parameters, but also SCS and other DL/UL baseband parameters. To provide some margin for UE to handle all the possible changes needed in BWP switching, we suggest T</w:t>
      </w:r>
      <w:r w:rsidRPr="00F603ED">
        <w:rPr>
          <w:sz w:val="20"/>
          <w:vertAlign w:val="subscript"/>
        </w:rPr>
        <w:t>apply</w:t>
      </w:r>
      <w:r>
        <w:rPr>
          <w:sz w:val="20"/>
        </w:rPr>
        <w:t xml:space="preserve"> = 500us, which is </w:t>
      </w:r>
      <w:r w:rsidR="00B90ACF">
        <w:rPr>
          <w:sz w:val="20"/>
        </w:rPr>
        <w:t>the same as what we assumed for interruption in SCell activation.</w:t>
      </w:r>
    </w:p>
    <w:p w:rsidR="00924C4F" w:rsidRDefault="00924C4F" w:rsidP="00924C4F">
      <w:pPr>
        <w:pStyle w:val="a5"/>
        <w:jc w:val="both"/>
      </w:pPr>
      <w:bookmarkStart w:id="8" w:name="_Ref513559532"/>
      <w:r>
        <w:t xml:space="preserve">Proposal </w:t>
      </w:r>
      <w:r>
        <w:fldChar w:fldCharType="begin"/>
      </w:r>
      <w:r>
        <w:instrText xml:space="preserve"> SEQ Proposal \* ARABIC </w:instrText>
      </w:r>
      <w:r>
        <w:fldChar w:fldCharType="separate"/>
      </w:r>
      <w:r>
        <w:rPr>
          <w:noProof/>
        </w:rPr>
        <w:t>2</w:t>
      </w:r>
      <w:r>
        <w:rPr>
          <w:noProof/>
        </w:rPr>
        <w:fldChar w:fldCharType="end"/>
      </w:r>
      <w:r>
        <w:rPr>
          <w:lang w:val="en-US"/>
        </w:rPr>
        <w:t>: The time duration that UE needs to apply the new parameters for new BWP is 500us.</w:t>
      </w:r>
      <w:bookmarkEnd w:id="8"/>
    </w:p>
    <w:p w:rsidR="00B90ACF" w:rsidRDefault="00B90ACF" w:rsidP="00B90ACF">
      <w:pPr>
        <w:jc w:val="both"/>
        <w:rPr>
          <w:sz w:val="20"/>
          <w:lang w:val="x-none"/>
        </w:rPr>
      </w:pPr>
    </w:p>
    <w:p w:rsidR="00FC37B4" w:rsidRDefault="00FC37B4" w:rsidP="00B90ACF">
      <w:pPr>
        <w:jc w:val="both"/>
        <w:rPr>
          <w:sz w:val="20"/>
        </w:rPr>
      </w:pPr>
      <w:r>
        <w:rPr>
          <w:sz w:val="20"/>
        </w:rPr>
        <w:t>With the understanding of T</w:t>
      </w:r>
      <w:r w:rsidRPr="00F603ED">
        <w:rPr>
          <w:sz w:val="20"/>
          <w:vertAlign w:val="subscript"/>
        </w:rPr>
        <w:t>apply</w:t>
      </w:r>
      <w:r>
        <w:rPr>
          <w:sz w:val="20"/>
        </w:rPr>
        <w:t xml:space="preserve">, the number of interrupted slots in other CC would depend on </w:t>
      </w:r>
    </w:p>
    <w:p w:rsidR="00FC37B4" w:rsidRDefault="00FC37B4" w:rsidP="00FC37B4">
      <w:pPr>
        <w:pStyle w:val="a9"/>
        <w:numPr>
          <w:ilvl w:val="0"/>
          <w:numId w:val="45"/>
        </w:numPr>
        <w:jc w:val="both"/>
        <w:rPr>
          <w:sz w:val="20"/>
        </w:rPr>
      </w:pPr>
      <w:r>
        <w:rPr>
          <w:sz w:val="20"/>
        </w:rPr>
        <w:t>W</w:t>
      </w:r>
      <w:r w:rsidRPr="00CC5EDA">
        <w:rPr>
          <w:sz w:val="20"/>
        </w:rPr>
        <w:t xml:space="preserve">hether the </w:t>
      </w:r>
      <w:r>
        <w:rPr>
          <w:sz w:val="20"/>
        </w:rPr>
        <w:t>aggressor and victim</w:t>
      </w:r>
      <w:r w:rsidRPr="00CC5EDA">
        <w:rPr>
          <w:sz w:val="20"/>
        </w:rPr>
        <w:t xml:space="preserve"> are synchronous </w:t>
      </w:r>
      <w:r>
        <w:rPr>
          <w:sz w:val="20"/>
        </w:rPr>
        <w:t>or asynchronous</w:t>
      </w:r>
    </w:p>
    <w:p w:rsidR="00FC37B4" w:rsidRDefault="00FC37B4" w:rsidP="00FC37B4">
      <w:pPr>
        <w:pStyle w:val="a9"/>
        <w:numPr>
          <w:ilvl w:val="0"/>
          <w:numId w:val="45"/>
        </w:numPr>
        <w:jc w:val="both"/>
        <w:rPr>
          <w:sz w:val="20"/>
        </w:rPr>
      </w:pPr>
      <w:r>
        <w:rPr>
          <w:sz w:val="20"/>
        </w:rPr>
        <w:t xml:space="preserve">The </w:t>
      </w:r>
      <w:r w:rsidR="00B90ACF">
        <w:rPr>
          <w:sz w:val="20"/>
        </w:rPr>
        <w:t>SCS of the victim.</w:t>
      </w:r>
    </w:p>
    <w:p w:rsidR="00FC37B4" w:rsidRDefault="00FC37B4" w:rsidP="00B90ACF">
      <w:pPr>
        <w:jc w:val="both"/>
        <w:rPr>
          <w:sz w:val="20"/>
        </w:rPr>
      </w:pPr>
      <w:r>
        <w:rPr>
          <w:sz w:val="20"/>
        </w:rPr>
        <w:t xml:space="preserve">Therefore, the exact numbers of slots on the victim serving cells can be calculated in </w:t>
      </w:r>
      <w:r>
        <w:rPr>
          <w:sz w:val="20"/>
        </w:rPr>
        <w:fldChar w:fldCharType="begin"/>
      </w:r>
      <w:r>
        <w:rPr>
          <w:sz w:val="20"/>
        </w:rPr>
        <w:instrText xml:space="preserve"> REF _Ref513124567 \h </w:instrText>
      </w:r>
      <w:r>
        <w:rPr>
          <w:sz w:val="20"/>
        </w:rPr>
      </w:r>
      <w:r>
        <w:rPr>
          <w:sz w:val="20"/>
        </w:rPr>
        <w:fldChar w:fldCharType="separate"/>
      </w:r>
      <w:r w:rsidR="00924C4F">
        <w:t xml:space="preserve">Table </w:t>
      </w:r>
      <w:r w:rsidR="00924C4F">
        <w:rPr>
          <w:noProof/>
        </w:rPr>
        <w:t>1</w:t>
      </w:r>
      <w:r>
        <w:rPr>
          <w:sz w:val="20"/>
        </w:rPr>
        <w:fldChar w:fldCharType="end"/>
      </w:r>
      <w:r>
        <w:rPr>
          <w:sz w:val="20"/>
        </w:rPr>
        <w:t>.</w:t>
      </w:r>
    </w:p>
    <w:p w:rsidR="00FC37B4" w:rsidRDefault="00FC37B4" w:rsidP="00FC37B4">
      <w:pPr>
        <w:pStyle w:val="a5"/>
        <w:jc w:val="center"/>
        <w:rPr>
          <w:lang w:val="en-US"/>
        </w:rPr>
      </w:pPr>
      <w:bookmarkStart w:id="9" w:name="_Ref513124567"/>
      <w:r>
        <w:t xml:space="preserve">Table </w:t>
      </w:r>
      <w:r>
        <w:fldChar w:fldCharType="begin"/>
      </w:r>
      <w:r>
        <w:instrText xml:space="preserve"> SEQ Table \* ARABIC </w:instrText>
      </w:r>
      <w:r>
        <w:fldChar w:fldCharType="separate"/>
      </w:r>
      <w:r w:rsidR="00924C4F">
        <w:rPr>
          <w:noProof/>
        </w:rPr>
        <w:t>1</w:t>
      </w:r>
      <w:r>
        <w:rPr>
          <w:noProof/>
        </w:rPr>
        <w:fldChar w:fldCharType="end"/>
      </w:r>
      <w:bookmarkEnd w:id="9"/>
      <w:r>
        <w:rPr>
          <w:lang w:val="en-US"/>
        </w:rPr>
        <w:t>. Number of interrupted slots</w:t>
      </w:r>
    </w:p>
    <w:tbl>
      <w:tblPr>
        <w:tblStyle w:val="ad"/>
        <w:tblW w:w="0" w:type="auto"/>
        <w:jc w:val="center"/>
        <w:tblLook w:val="04A0" w:firstRow="1" w:lastRow="0" w:firstColumn="1" w:lastColumn="0" w:noHBand="0" w:noVBand="1"/>
      </w:tblPr>
      <w:tblGrid>
        <w:gridCol w:w="2211"/>
        <w:gridCol w:w="1690"/>
        <w:gridCol w:w="1691"/>
      </w:tblGrid>
      <w:tr w:rsidR="00B90ACF" w:rsidTr="00356391">
        <w:trPr>
          <w:trHeight w:val="227"/>
          <w:jc w:val="center"/>
        </w:trPr>
        <w:tc>
          <w:tcPr>
            <w:tcW w:w="2211" w:type="dxa"/>
            <w:shd w:val="clear" w:color="auto" w:fill="auto"/>
            <w:vAlign w:val="center"/>
          </w:tcPr>
          <w:p w:rsidR="00B90ACF" w:rsidRDefault="00B90ACF" w:rsidP="006F046F">
            <w:pPr>
              <w:jc w:val="center"/>
              <w:rPr>
                <w:sz w:val="20"/>
              </w:rPr>
            </w:pPr>
          </w:p>
        </w:tc>
        <w:tc>
          <w:tcPr>
            <w:tcW w:w="3381" w:type="dxa"/>
            <w:gridSpan w:val="2"/>
            <w:shd w:val="clear" w:color="auto" w:fill="auto"/>
          </w:tcPr>
          <w:p w:rsidR="00B90ACF" w:rsidRDefault="00D471AA" w:rsidP="00B90ACF">
            <w:pPr>
              <w:jc w:val="center"/>
              <w:rPr>
                <w:sz w:val="20"/>
              </w:rPr>
            </w:pPr>
            <w:r w:rsidRPr="00D471AA">
              <w:t>Number of interrupted slots</w:t>
            </w:r>
          </w:p>
        </w:tc>
      </w:tr>
      <w:tr w:rsidR="00B90ACF" w:rsidTr="00356391">
        <w:trPr>
          <w:trHeight w:val="227"/>
          <w:jc w:val="center"/>
        </w:trPr>
        <w:tc>
          <w:tcPr>
            <w:tcW w:w="2211" w:type="dxa"/>
            <w:shd w:val="clear" w:color="auto" w:fill="auto"/>
            <w:vAlign w:val="center"/>
          </w:tcPr>
          <w:p w:rsidR="00B90ACF" w:rsidRDefault="00B90ACF" w:rsidP="00B90ACF">
            <w:pPr>
              <w:jc w:val="center"/>
              <w:rPr>
                <w:sz w:val="20"/>
              </w:rPr>
            </w:pPr>
            <w:r>
              <w:rPr>
                <w:sz w:val="20"/>
              </w:rPr>
              <w:t xml:space="preserve">SCS of victim serving cell </w:t>
            </w:r>
          </w:p>
        </w:tc>
        <w:tc>
          <w:tcPr>
            <w:tcW w:w="1690" w:type="dxa"/>
            <w:shd w:val="clear" w:color="auto" w:fill="auto"/>
          </w:tcPr>
          <w:p w:rsidR="00B90ACF" w:rsidRDefault="00D471AA" w:rsidP="006F046F">
            <w:pPr>
              <w:jc w:val="center"/>
              <w:rPr>
                <w:sz w:val="20"/>
              </w:rPr>
            </w:pPr>
            <w:r>
              <w:rPr>
                <w:sz w:val="20"/>
              </w:rPr>
              <w:t>S</w:t>
            </w:r>
            <w:r w:rsidR="00B90ACF">
              <w:rPr>
                <w:sz w:val="20"/>
              </w:rPr>
              <w:t>ync</w:t>
            </w:r>
          </w:p>
        </w:tc>
        <w:tc>
          <w:tcPr>
            <w:tcW w:w="1691" w:type="dxa"/>
            <w:shd w:val="clear" w:color="auto" w:fill="auto"/>
          </w:tcPr>
          <w:p w:rsidR="00B90ACF" w:rsidRDefault="00B90ACF" w:rsidP="006F046F">
            <w:pPr>
              <w:jc w:val="center"/>
              <w:rPr>
                <w:sz w:val="20"/>
              </w:rPr>
            </w:pPr>
            <w:r>
              <w:rPr>
                <w:sz w:val="20"/>
              </w:rPr>
              <w:t>Async</w:t>
            </w:r>
          </w:p>
        </w:tc>
      </w:tr>
      <w:tr w:rsidR="00B90ACF" w:rsidTr="00356391">
        <w:trPr>
          <w:trHeight w:val="227"/>
          <w:jc w:val="center"/>
        </w:trPr>
        <w:tc>
          <w:tcPr>
            <w:tcW w:w="2211" w:type="dxa"/>
            <w:shd w:val="clear" w:color="auto" w:fill="auto"/>
          </w:tcPr>
          <w:p w:rsidR="00B90ACF" w:rsidRDefault="00B90ACF" w:rsidP="00B90ACF">
            <w:pPr>
              <w:jc w:val="center"/>
              <w:rPr>
                <w:sz w:val="20"/>
              </w:rPr>
            </w:pPr>
            <w:r>
              <w:rPr>
                <w:sz w:val="20"/>
              </w:rPr>
              <w:t>15KHz</w:t>
            </w:r>
          </w:p>
        </w:tc>
        <w:tc>
          <w:tcPr>
            <w:tcW w:w="1690" w:type="dxa"/>
            <w:shd w:val="clear" w:color="auto" w:fill="auto"/>
          </w:tcPr>
          <w:p w:rsidR="00B90ACF" w:rsidRDefault="00B90ACF" w:rsidP="006F046F">
            <w:pPr>
              <w:jc w:val="center"/>
              <w:rPr>
                <w:sz w:val="20"/>
              </w:rPr>
            </w:pPr>
            <w:r>
              <w:rPr>
                <w:sz w:val="20"/>
              </w:rPr>
              <w:t>1</w:t>
            </w:r>
          </w:p>
        </w:tc>
        <w:tc>
          <w:tcPr>
            <w:tcW w:w="1691" w:type="dxa"/>
            <w:shd w:val="clear" w:color="auto" w:fill="auto"/>
          </w:tcPr>
          <w:p w:rsidR="00B90ACF" w:rsidRDefault="00B90ACF" w:rsidP="006F046F">
            <w:pPr>
              <w:jc w:val="center"/>
              <w:rPr>
                <w:sz w:val="20"/>
              </w:rPr>
            </w:pPr>
            <w:r>
              <w:rPr>
                <w:sz w:val="20"/>
              </w:rPr>
              <w:t>2</w:t>
            </w:r>
          </w:p>
        </w:tc>
      </w:tr>
      <w:tr w:rsidR="00B90ACF" w:rsidTr="00356391">
        <w:trPr>
          <w:trHeight w:val="227"/>
          <w:jc w:val="center"/>
        </w:trPr>
        <w:tc>
          <w:tcPr>
            <w:tcW w:w="2211" w:type="dxa"/>
            <w:shd w:val="clear" w:color="auto" w:fill="auto"/>
          </w:tcPr>
          <w:p w:rsidR="00B90ACF" w:rsidRDefault="00B90ACF" w:rsidP="00B90ACF">
            <w:pPr>
              <w:jc w:val="center"/>
              <w:rPr>
                <w:sz w:val="20"/>
              </w:rPr>
            </w:pPr>
            <w:r>
              <w:rPr>
                <w:sz w:val="20"/>
              </w:rPr>
              <w:t>30KHz</w:t>
            </w:r>
          </w:p>
        </w:tc>
        <w:tc>
          <w:tcPr>
            <w:tcW w:w="1690" w:type="dxa"/>
            <w:shd w:val="clear" w:color="auto" w:fill="auto"/>
          </w:tcPr>
          <w:p w:rsidR="00B90ACF" w:rsidRDefault="00B90ACF" w:rsidP="006F046F">
            <w:pPr>
              <w:jc w:val="center"/>
              <w:rPr>
                <w:sz w:val="20"/>
              </w:rPr>
            </w:pPr>
            <w:r>
              <w:rPr>
                <w:sz w:val="20"/>
              </w:rPr>
              <w:t>1</w:t>
            </w:r>
          </w:p>
        </w:tc>
        <w:tc>
          <w:tcPr>
            <w:tcW w:w="1691" w:type="dxa"/>
            <w:shd w:val="clear" w:color="auto" w:fill="auto"/>
          </w:tcPr>
          <w:p w:rsidR="00B90ACF" w:rsidRDefault="00B90ACF" w:rsidP="006F046F">
            <w:pPr>
              <w:jc w:val="center"/>
              <w:rPr>
                <w:sz w:val="20"/>
              </w:rPr>
            </w:pPr>
            <w:r>
              <w:rPr>
                <w:sz w:val="20"/>
              </w:rPr>
              <w:t>2</w:t>
            </w:r>
          </w:p>
        </w:tc>
      </w:tr>
      <w:tr w:rsidR="00B90ACF" w:rsidTr="00356391">
        <w:trPr>
          <w:trHeight w:val="227"/>
          <w:jc w:val="center"/>
        </w:trPr>
        <w:tc>
          <w:tcPr>
            <w:tcW w:w="2211" w:type="dxa"/>
            <w:shd w:val="clear" w:color="auto" w:fill="auto"/>
          </w:tcPr>
          <w:p w:rsidR="00B90ACF" w:rsidRDefault="00B90ACF" w:rsidP="00B90ACF">
            <w:pPr>
              <w:jc w:val="center"/>
              <w:rPr>
                <w:sz w:val="20"/>
              </w:rPr>
            </w:pPr>
            <w:r>
              <w:rPr>
                <w:sz w:val="20"/>
              </w:rPr>
              <w:t>60KHz</w:t>
            </w:r>
          </w:p>
        </w:tc>
        <w:tc>
          <w:tcPr>
            <w:tcW w:w="3381" w:type="dxa"/>
            <w:gridSpan w:val="2"/>
            <w:shd w:val="clear" w:color="auto" w:fill="auto"/>
          </w:tcPr>
          <w:p w:rsidR="00B90ACF" w:rsidRDefault="00B90ACF" w:rsidP="006F046F">
            <w:pPr>
              <w:jc w:val="center"/>
              <w:rPr>
                <w:sz w:val="20"/>
              </w:rPr>
            </w:pPr>
            <w:r>
              <w:rPr>
                <w:sz w:val="20"/>
              </w:rPr>
              <w:t>3</w:t>
            </w:r>
          </w:p>
        </w:tc>
      </w:tr>
      <w:tr w:rsidR="00B90ACF" w:rsidTr="00356391">
        <w:trPr>
          <w:trHeight w:val="227"/>
          <w:jc w:val="center"/>
        </w:trPr>
        <w:tc>
          <w:tcPr>
            <w:tcW w:w="2211" w:type="dxa"/>
            <w:shd w:val="clear" w:color="auto" w:fill="auto"/>
          </w:tcPr>
          <w:p w:rsidR="00B90ACF" w:rsidRDefault="00B90ACF" w:rsidP="00B90ACF">
            <w:pPr>
              <w:jc w:val="center"/>
              <w:rPr>
                <w:sz w:val="20"/>
              </w:rPr>
            </w:pPr>
            <w:r>
              <w:rPr>
                <w:sz w:val="20"/>
              </w:rPr>
              <w:t>120KHz</w:t>
            </w:r>
          </w:p>
        </w:tc>
        <w:tc>
          <w:tcPr>
            <w:tcW w:w="3381" w:type="dxa"/>
            <w:gridSpan w:val="2"/>
            <w:shd w:val="clear" w:color="auto" w:fill="auto"/>
          </w:tcPr>
          <w:p w:rsidR="00B90ACF" w:rsidRDefault="00B90ACF" w:rsidP="006F046F">
            <w:pPr>
              <w:jc w:val="center"/>
              <w:rPr>
                <w:sz w:val="20"/>
              </w:rPr>
            </w:pPr>
            <w:r>
              <w:rPr>
                <w:sz w:val="20"/>
              </w:rPr>
              <w:t>5</w:t>
            </w:r>
          </w:p>
        </w:tc>
      </w:tr>
    </w:tbl>
    <w:p w:rsidR="00FC37B4" w:rsidRDefault="00FC37B4" w:rsidP="00FC37B4">
      <w:pPr>
        <w:rPr>
          <w:sz w:val="20"/>
        </w:rPr>
      </w:pPr>
    </w:p>
    <w:p w:rsidR="00BA7B8E" w:rsidRPr="00AC359E" w:rsidRDefault="00FC37B4" w:rsidP="008D45A9">
      <w:pPr>
        <w:pStyle w:val="a5"/>
        <w:jc w:val="both"/>
        <w:rPr>
          <w:lang w:eastAsia="zh-TW"/>
        </w:rPr>
      </w:pPr>
      <w:bookmarkStart w:id="10" w:name="_Ref517550190"/>
      <w:bookmarkStart w:id="11" w:name="_Ref513559534"/>
      <w:r>
        <w:t xml:space="preserve">Proposal </w:t>
      </w:r>
      <w:r>
        <w:fldChar w:fldCharType="begin"/>
      </w:r>
      <w:r>
        <w:instrText xml:space="preserve"> SEQ Proposal \* ARABIC </w:instrText>
      </w:r>
      <w:r>
        <w:fldChar w:fldCharType="separate"/>
      </w:r>
      <w:r w:rsidR="00BA7B8E">
        <w:rPr>
          <w:noProof/>
        </w:rPr>
        <w:t>3</w:t>
      </w:r>
      <w:r>
        <w:rPr>
          <w:noProof/>
        </w:rPr>
        <w:fldChar w:fldCharType="end"/>
      </w:r>
      <w:r>
        <w:rPr>
          <w:lang w:val="en-US"/>
        </w:rPr>
        <w:t>: Consider Table 1 when specifying the number of interrupted slots for victim serving cells.</w:t>
      </w:r>
      <w:bookmarkEnd w:id="10"/>
      <w:r>
        <w:rPr>
          <w:lang w:val="en-US"/>
        </w:rPr>
        <w:t xml:space="preserve"> </w:t>
      </w:r>
      <w:bookmarkEnd w:id="11"/>
    </w:p>
    <w:p w:rsidR="00BA7B8E" w:rsidRDefault="00BA7B8E" w:rsidP="00BA7B8E">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sidRPr="00466693">
        <w:rPr>
          <w:rFonts w:ascii="Calibri" w:eastAsia="新細明體" w:hAnsi="Calibri" w:cs="Calibri"/>
          <w:b/>
          <w:sz w:val="24"/>
          <w:szCs w:val="24"/>
          <w:lang w:eastAsia="zh-TW"/>
        </w:rPr>
        <w:t xml:space="preserve">Interruption for </w:t>
      </w:r>
      <w:r>
        <w:rPr>
          <w:rFonts w:ascii="Calibri" w:eastAsia="新細明體" w:hAnsi="Calibri" w:cs="Calibri"/>
          <w:b/>
          <w:sz w:val="24"/>
          <w:szCs w:val="24"/>
          <w:lang w:eastAsia="zh-TW"/>
        </w:rPr>
        <w:t xml:space="preserve">other </w:t>
      </w:r>
      <w:r w:rsidRPr="00466693">
        <w:rPr>
          <w:rFonts w:ascii="Calibri" w:eastAsia="新細明體" w:hAnsi="Calibri" w:cs="Calibri"/>
          <w:b/>
          <w:sz w:val="24"/>
          <w:szCs w:val="24"/>
          <w:lang w:eastAsia="zh-TW"/>
        </w:rPr>
        <w:t xml:space="preserve">scenarios </w:t>
      </w:r>
    </w:p>
    <w:p w:rsidR="00FC37B4" w:rsidRPr="00BA7B8E" w:rsidRDefault="00BA7B8E" w:rsidP="00FC37B4">
      <w:pPr>
        <w:jc w:val="both"/>
        <w:rPr>
          <w:b/>
          <w:sz w:val="20"/>
          <w:u w:val="single"/>
        </w:rPr>
      </w:pPr>
      <w:r w:rsidRPr="00BA7B8E">
        <w:rPr>
          <w:b/>
          <w:sz w:val="20"/>
          <w:u w:val="single"/>
        </w:rPr>
        <w:t>Scenario 4</w:t>
      </w:r>
    </w:p>
    <w:p w:rsidR="00BE7FEA" w:rsidRDefault="005F79A9" w:rsidP="00BA7B8E">
      <w:pPr>
        <w:jc w:val="both"/>
        <w:rPr>
          <w:sz w:val="20"/>
        </w:rPr>
      </w:pPr>
      <w:r>
        <w:rPr>
          <w:sz w:val="20"/>
        </w:rPr>
        <w:t>For the 4</w:t>
      </w:r>
      <w:r w:rsidRPr="005F79A9">
        <w:rPr>
          <w:sz w:val="20"/>
          <w:vertAlign w:val="superscript"/>
        </w:rPr>
        <w:t>th</w:t>
      </w:r>
      <w:r>
        <w:rPr>
          <w:sz w:val="20"/>
        </w:rPr>
        <w:t xml:space="preserve"> scenario with only SCS change, </w:t>
      </w:r>
      <w:r w:rsidR="00BE7FEA">
        <w:rPr>
          <w:sz w:val="20"/>
        </w:rPr>
        <w:t xml:space="preserve">whether the interruption will happen is up to UE implementation strategy. </w:t>
      </w:r>
    </w:p>
    <w:p w:rsidR="00CA6218" w:rsidRDefault="00BE7FEA" w:rsidP="00BA7B8E">
      <w:pPr>
        <w:pStyle w:val="a9"/>
        <w:numPr>
          <w:ilvl w:val="0"/>
          <w:numId w:val="46"/>
        </w:numPr>
        <w:ind w:left="720"/>
        <w:jc w:val="both"/>
        <w:rPr>
          <w:sz w:val="20"/>
        </w:rPr>
      </w:pPr>
      <w:r w:rsidRPr="00BE7FEA">
        <w:rPr>
          <w:sz w:val="20"/>
        </w:rPr>
        <w:t xml:space="preserve">If there are some tight baseband resource sharing among different CCs, then interruption may happen. For an example, the polar decoding engines could be shared among all CCs. Changing the numerology of one CC from 15KHz to 30KHz means that BWP-changing CC needs to access the polar decoding twice as frequent as it did in 15KHz. In this case, </w:t>
      </w:r>
      <w:r w:rsidR="00CA6218">
        <w:rPr>
          <w:sz w:val="20"/>
        </w:rPr>
        <w:t>r</w:t>
      </w:r>
      <w:r w:rsidRPr="00BE7FEA">
        <w:rPr>
          <w:sz w:val="20"/>
        </w:rPr>
        <w:t xml:space="preserve">e-arrangements of the baseband resources inside UE is needed and interruption is expected. </w:t>
      </w:r>
    </w:p>
    <w:p w:rsidR="00BE7FEA" w:rsidRPr="00BE7FEA" w:rsidRDefault="00CA6218" w:rsidP="00BA7B8E">
      <w:pPr>
        <w:pStyle w:val="a9"/>
        <w:numPr>
          <w:ilvl w:val="0"/>
          <w:numId w:val="46"/>
        </w:numPr>
        <w:ind w:left="720"/>
        <w:jc w:val="both"/>
        <w:rPr>
          <w:sz w:val="20"/>
        </w:rPr>
      </w:pPr>
      <w:r>
        <w:rPr>
          <w:sz w:val="20"/>
        </w:rPr>
        <w:t>I</w:t>
      </w:r>
      <w:r w:rsidR="00BE7FEA" w:rsidRPr="00BE7FEA">
        <w:rPr>
          <w:sz w:val="20"/>
        </w:rPr>
        <w:t>f there is no such a tight sharing among CCs</w:t>
      </w:r>
      <w:r>
        <w:rPr>
          <w:sz w:val="20"/>
        </w:rPr>
        <w:t>, e.g., dedicated resources are allocated for different CCs</w:t>
      </w:r>
      <w:r w:rsidR="00BE7FEA" w:rsidRPr="00BE7FEA">
        <w:rPr>
          <w:sz w:val="20"/>
        </w:rPr>
        <w:t xml:space="preserve">, then it is possible to avoid the interruption. However, such UE would turn out to have higher complexity and cost. </w:t>
      </w:r>
    </w:p>
    <w:p w:rsidR="00FD7E4E" w:rsidRDefault="00CA6218" w:rsidP="00BA7B8E">
      <w:pPr>
        <w:jc w:val="both"/>
        <w:rPr>
          <w:sz w:val="20"/>
        </w:rPr>
      </w:pPr>
      <w:r>
        <w:rPr>
          <w:sz w:val="20"/>
        </w:rPr>
        <w:lastRenderedPageBreak/>
        <w:t>Therefore, in general, we think interruption should also be considered for scenario 4.</w:t>
      </w:r>
      <w:r w:rsidR="00D471AA">
        <w:rPr>
          <w:sz w:val="20"/>
        </w:rPr>
        <w:t xml:space="preserve"> And this interruption is not limited to FR with the BWP-switching cell.</w:t>
      </w:r>
      <w:r>
        <w:rPr>
          <w:sz w:val="20"/>
        </w:rPr>
        <w:t xml:space="preserve"> Moreover</w:t>
      </w:r>
      <w:r w:rsidR="005F79A9">
        <w:rPr>
          <w:sz w:val="20"/>
        </w:rPr>
        <w:t xml:space="preserve">, it should be noted that the SCS change should be still within </w:t>
      </w:r>
      <w:r>
        <w:rPr>
          <w:sz w:val="20"/>
        </w:rPr>
        <w:t>UE</w:t>
      </w:r>
      <w:r w:rsidR="005F79A9">
        <w:rPr>
          <w:sz w:val="20"/>
        </w:rPr>
        <w:t>’s capability. E.g., if UE can only support same numerology for intra-band CA, then it is not possible for a UE to change the SCS for only a single CC in that band.</w:t>
      </w:r>
    </w:p>
    <w:p w:rsidR="00FD7E4E" w:rsidRPr="005F79A9" w:rsidRDefault="005F79A9" w:rsidP="00BA7B8E">
      <w:pPr>
        <w:pStyle w:val="a5"/>
        <w:rPr>
          <w:lang w:val="en-US"/>
        </w:rPr>
      </w:pPr>
      <w:bookmarkStart w:id="12" w:name="_Ref513559528"/>
      <w:r>
        <w:t xml:space="preserve">Proposal </w:t>
      </w:r>
      <w:r w:rsidR="001541F0">
        <w:fldChar w:fldCharType="begin"/>
      </w:r>
      <w:r w:rsidR="001541F0">
        <w:instrText xml:space="preserve"> SEQ Proposal \* ARABIC </w:instrText>
      </w:r>
      <w:r w:rsidR="001541F0">
        <w:fldChar w:fldCharType="separate"/>
      </w:r>
      <w:r w:rsidR="00D471AA">
        <w:rPr>
          <w:noProof/>
        </w:rPr>
        <w:t>4</w:t>
      </w:r>
      <w:r w:rsidR="001541F0">
        <w:rPr>
          <w:noProof/>
        </w:rPr>
        <w:fldChar w:fldCharType="end"/>
      </w:r>
      <w:r>
        <w:rPr>
          <w:lang w:val="en-US"/>
        </w:rPr>
        <w:t xml:space="preserve">: </w:t>
      </w:r>
      <w:r w:rsidRPr="005F79A9">
        <w:rPr>
          <w:lang w:val="en-US"/>
        </w:rPr>
        <w:t>BWP reconfiguration scenarios</w:t>
      </w:r>
      <w:r>
        <w:rPr>
          <w:lang w:val="en-US"/>
        </w:rPr>
        <w:t xml:space="preserve"> </w:t>
      </w:r>
      <w:r w:rsidR="000A5D7A">
        <w:rPr>
          <w:lang w:val="en-US"/>
        </w:rPr>
        <w:t>4</w:t>
      </w:r>
      <w:r>
        <w:rPr>
          <w:lang w:val="en-US"/>
        </w:rPr>
        <w:t xml:space="preserve"> will cause interruption to other serving cells</w:t>
      </w:r>
      <w:r w:rsidR="00D471AA">
        <w:rPr>
          <w:lang w:val="en-US"/>
        </w:rPr>
        <w:t xml:space="preserve"> in all FRs</w:t>
      </w:r>
      <w:r>
        <w:rPr>
          <w:lang w:val="en-US"/>
        </w:rPr>
        <w:t>.</w:t>
      </w:r>
      <w:bookmarkEnd w:id="12"/>
      <w:r>
        <w:rPr>
          <w:lang w:val="en-US"/>
        </w:rPr>
        <w:t xml:space="preserve"> </w:t>
      </w:r>
    </w:p>
    <w:p w:rsidR="00D471AA" w:rsidRDefault="00D471AA" w:rsidP="00942953">
      <w:pPr>
        <w:jc w:val="both"/>
        <w:rPr>
          <w:sz w:val="20"/>
          <w:u w:val="single"/>
        </w:rPr>
      </w:pPr>
    </w:p>
    <w:p w:rsidR="00FD7E4E" w:rsidRPr="00D471AA" w:rsidRDefault="00D471AA" w:rsidP="00942953">
      <w:pPr>
        <w:jc w:val="both"/>
        <w:rPr>
          <w:b/>
          <w:sz w:val="20"/>
          <w:u w:val="single"/>
        </w:rPr>
      </w:pPr>
      <w:r w:rsidRPr="00D471AA">
        <w:rPr>
          <w:b/>
          <w:sz w:val="20"/>
          <w:u w:val="single"/>
        </w:rPr>
        <w:t>Baseband-only scenario</w:t>
      </w:r>
    </w:p>
    <w:p w:rsidR="00FD7E4E" w:rsidRDefault="00585012" w:rsidP="00D471AA">
      <w:pPr>
        <w:jc w:val="both"/>
        <w:rPr>
          <w:sz w:val="20"/>
        </w:rPr>
      </w:pPr>
      <w:r>
        <w:rPr>
          <w:sz w:val="20"/>
        </w:rPr>
        <w:t>In our understanding, there is no interruption to other serving cells if only baseband parameters are changed in the BWP switching.</w:t>
      </w:r>
    </w:p>
    <w:p w:rsidR="00AC359E" w:rsidRPr="00AC359E" w:rsidRDefault="00585012" w:rsidP="008D45A9">
      <w:pPr>
        <w:pStyle w:val="a5"/>
        <w:jc w:val="both"/>
        <w:rPr>
          <w:lang w:eastAsia="zh-TW"/>
        </w:rPr>
      </w:pPr>
      <w:bookmarkStart w:id="13" w:name="_Ref513559536"/>
      <w:r>
        <w:t xml:space="preserve">Proposal </w:t>
      </w:r>
      <w:r w:rsidR="001541F0">
        <w:fldChar w:fldCharType="begin"/>
      </w:r>
      <w:r w:rsidR="001541F0">
        <w:instrText xml:space="preserve"> SEQ Proposal \* ARABIC </w:instrText>
      </w:r>
      <w:r w:rsidR="001541F0">
        <w:fldChar w:fldCharType="separate"/>
      </w:r>
      <w:r w:rsidR="00D471AA">
        <w:rPr>
          <w:noProof/>
        </w:rPr>
        <w:t>5</w:t>
      </w:r>
      <w:r w:rsidR="001541F0">
        <w:rPr>
          <w:noProof/>
        </w:rPr>
        <w:fldChar w:fldCharType="end"/>
      </w:r>
      <w:r>
        <w:rPr>
          <w:lang w:val="en-US"/>
        </w:rPr>
        <w:t xml:space="preserve">: </w:t>
      </w:r>
      <w:r w:rsidR="00DF73A4">
        <w:rPr>
          <w:lang w:val="en-US"/>
        </w:rPr>
        <w:t>T</w:t>
      </w:r>
      <w:r w:rsidR="00DF73A4">
        <w:t>here</w:t>
      </w:r>
      <w:r>
        <w:t xml:space="preserve"> is no interruption to other serving cells if only baseband parameters are changed in the BWP switching</w:t>
      </w:r>
      <w:r w:rsidR="009E28B5">
        <w:rPr>
          <w:lang w:val="en-US"/>
        </w:rPr>
        <w:t xml:space="preserve">. </w:t>
      </w:r>
      <w:r w:rsidR="009E28B5" w:rsidRPr="009E28B5">
        <w:rPr>
          <w:lang w:val="en-US"/>
        </w:rPr>
        <w:t>But interruption on the BWP-switching CC is expected.</w:t>
      </w:r>
      <w:bookmarkEnd w:id="13"/>
      <w:r w:rsidR="009E28B5" w:rsidRPr="009E28B5">
        <w:t xml:space="preserve"> </w:t>
      </w:r>
    </w:p>
    <w:p w:rsidR="00085372" w:rsidRDefault="00AC359E"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D339E7">
        <w:rPr>
          <w:rFonts w:ascii="Calibri" w:eastAsia="新細明體" w:hAnsi="Calibri" w:cs="Calibri"/>
          <w:color w:val="0D0D0D"/>
          <w:lang w:eastAsia="zh-TW"/>
        </w:rPr>
        <w:t>we discuss the Interruption requirement for BWP switching. We have the following observations and proposals.</w:t>
      </w:r>
    </w:p>
    <w:bookmarkStart w:id="14" w:name="_GoBack"/>
    <w:p w:rsidR="00D471AA" w:rsidRPr="00D471AA" w:rsidRDefault="00D471AA" w:rsidP="00972D5C">
      <w:pPr>
        <w:jc w:val="both"/>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fldChar w:fldCharType="begin"/>
      </w:r>
      <w:r w:rsidRPr="00D471AA">
        <w:rPr>
          <w:rFonts w:ascii="Times New Roman" w:eastAsia="SimSun" w:hAnsi="Times New Roman" w:cs="Times New Roman"/>
          <w:b/>
          <w:sz w:val="20"/>
          <w:szCs w:val="20"/>
          <w:lang w:val="x-none" w:eastAsia="x-none"/>
        </w:rPr>
        <w:instrText xml:space="preserve"> REF _Ref517550175 \h </w:instrText>
      </w:r>
      <w:r>
        <w:rPr>
          <w:rFonts w:ascii="Times New Roman" w:eastAsia="SimSun" w:hAnsi="Times New Roman" w:cs="Times New Roman"/>
          <w:b/>
          <w:sz w:val="20"/>
          <w:szCs w:val="20"/>
          <w:lang w:val="x-none" w:eastAsia="x-none"/>
        </w:rPr>
        <w:instrText xml:space="preserve"> \* MERGEFORMAT </w:instrText>
      </w:r>
      <w:r w:rsidRPr="00D471AA">
        <w:rPr>
          <w:rFonts w:ascii="Times New Roman" w:eastAsia="SimSun" w:hAnsi="Times New Roman" w:cs="Times New Roman"/>
          <w:b/>
          <w:sz w:val="20"/>
          <w:szCs w:val="20"/>
          <w:lang w:val="x-none" w:eastAsia="x-none"/>
        </w:rPr>
      </w:r>
      <w:r w:rsidRPr="00D471AA">
        <w:rPr>
          <w:rFonts w:ascii="Times New Roman" w:eastAsia="SimSun" w:hAnsi="Times New Roman" w:cs="Times New Roman"/>
          <w:b/>
          <w:sz w:val="20"/>
          <w:szCs w:val="20"/>
          <w:lang w:val="x-none" w:eastAsia="x-none"/>
        </w:rPr>
        <w:fldChar w:fldCharType="separate"/>
      </w:r>
      <w:r w:rsidR="008F12DE" w:rsidRPr="008F12DE">
        <w:rPr>
          <w:rFonts w:ascii="Times New Roman" w:eastAsia="SimSun" w:hAnsi="Times New Roman" w:cs="Times New Roman"/>
          <w:b/>
          <w:sz w:val="20"/>
          <w:szCs w:val="20"/>
          <w:lang w:val="x-none" w:eastAsia="x-none"/>
        </w:rPr>
        <w:t>Proposal 1: If UE claimed the supporting of per-FR gap, interruption can be avoided for those serving cells in different FR to the BWP-switching cell.</w:t>
      </w:r>
      <w:r w:rsidRPr="00D471AA">
        <w:rPr>
          <w:rFonts w:ascii="Times New Roman" w:eastAsia="SimSun" w:hAnsi="Times New Roman" w:cs="Times New Roman"/>
          <w:b/>
          <w:sz w:val="20"/>
          <w:szCs w:val="20"/>
          <w:lang w:val="x-none" w:eastAsia="x-none"/>
        </w:rPr>
        <w:fldChar w:fldCharType="end"/>
      </w:r>
    </w:p>
    <w:p w:rsidR="00D471AA" w:rsidRPr="00D471AA" w:rsidRDefault="00D471AA" w:rsidP="00972D5C">
      <w:pPr>
        <w:jc w:val="both"/>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fldChar w:fldCharType="begin"/>
      </w:r>
      <w:r w:rsidRPr="00D471AA">
        <w:rPr>
          <w:rFonts w:ascii="Times New Roman" w:eastAsia="SimSun" w:hAnsi="Times New Roman" w:cs="Times New Roman"/>
          <w:b/>
          <w:sz w:val="20"/>
          <w:szCs w:val="20"/>
          <w:lang w:val="x-none" w:eastAsia="x-none"/>
        </w:rPr>
        <w:instrText xml:space="preserve"> REF _Ref513559532 \h </w:instrText>
      </w:r>
      <w:r>
        <w:rPr>
          <w:rFonts w:ascii="Times New Roman" w:eastAsia="SimSun" w:hAnsi="Times New Roman" w:cs="Times New Roman"/>
          <w:b/>
          <w:sz w:val="20"/>
          <w:szCs w:val="20"/>
          <w:lang w:val="x-none" w:eastAsia="x-none"/>
        </w:rPr>
        <w:instrText xml:space="preserve"> \* MERGEFORMAT </w:instrText>
      </w:r>
      <w:r w:rsidRPr="00D471AA">
        <w:rPr>
          <w:rFonts w:ascii="Times New Roman" w:eastAsia="SimSun" w:hAnsi="Times New Roman" w:cs="Times New Roman"/>
          <w:b/>
          <w:sz w:val="20"/>
          <w:szCs w:val="20"/>
          <w:lang w:val="x-none" w:eastAsia="x-none"/>
        </w:rPr>
      </w:r>
      <w:r w:rsidRPr="00D471AA">
        <w:rPr>
          <w:rFonts w:ascii="Times New Roman" w:eastAsia="SimSun" w:hAnsi="Times New Roman" w:cs="Times New Roman"/>
          <w:b/>
          <w:sz w:val="20"/>
          <w:szCs w:val="20"/>
          <w:lang w:val="x-none" w:eastAsia="x-none"/>
        </w:rPr>
        <w:fldChar w:fldCharType="separate"/>
      </w:r>
      <w:r w:rsidR="008F12DE" w:rsidRPr="008F12DE">
        <w:rPr>
          <w:rFonts w:ascii="Times New Roman" w:eastAsia="SimSun" w:hAnsi="Times New Roman" w:cs="Times New Roman"/>
          <w:b/>
          <w:sz w:val="20"/>
          <w:szCs w:val="20"/>
          <w:lang w:val="x-none" w:eastAsia="x-none"/>
        </w:rPr>
        <w:t>Proposal 2: The time duration that UE needs to apply the new parameters for new BWP is 500us.</w:t>
      </w:r>
      <w:r w:rsidRPr="00D471AA">
        <w:rPr>
          <w:rFonts w:ascii="Times New Roman" w:eastAsia="SimSun" w:hAnsi="Times New Roman" w:cs="Times New Roman"/>
          <w:b/>
          <w:sz w:val="20"/>
          <w:szCs w:val="20"/>
          <w:lang w:val="x-none" w:eastAsia="x-none"/>
        </w:rPr>
        <w:fldChar w:fldCharType="end"/>
      </w:r>
    </w:p>
    <w:p w:rsidR="00D471AA" w:rsidRDefault="00D471AA" w:rsidP="00972D5C">
      <w:pPr>
        <w:jc w:val="both"/>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fldChar w:fldCharType="begin"/>
      </w:r>
      <w:r w:rsidRPr="00D471AA">
        <w:rPr>
          <w:rFonts w:ascii="Times New Roman" w:eastAsia="SimSun" w:hAnsi="Times New Roman" w:cs="Times New Roman"/>
          <w:b/>
          <w:sz w:val="20"/>
          <w:szCs w:val="20"/>
          <w:lang w:val="x-none" w:eastAsia="x-none"/>
        </w:rPr>
        <w:instrText xml:space="preserve"> REF _Ref517550190 \h </w:instrText>
      </w:r>
      <w:r>
        <w:rPr>
          <w:rFonts w:ascii="Times New Roman" w:eastAsia="SimSun" w:hAnsi="Times New Roman" w:cs="Times New Roman"/>
          <w:b/>
          <w:sz w:val="20"/>
          <w:szCs w:val="20"/>
          <w:lang w:val="x-none" w:eastAsia="x-none"/>
        </w:rPr>
        <w:instrText xml:space="preserve"> \* MERGEFORMAT </w:instrText>
      </w:r>
      <w:r w:rsidRPr="00D471AA">
        <w:rPr>
          <w:rFonts w:ascii="Times New Roman" w:eastAsia="SimSun" w:hAnsi="Times New Roman" w:cs="Times New Roman"/>
          <w:b/>
          <w:sz w:val="20"/>
          <w:szCs w:val="20"/>
          <w:lang w:val="x-none" w:eastAsia="x-none"/>
        </w:rPr>
      </w:r>
      <w:r w:rsidRPr="00D471AA">
        <w:rPr>
          <w:rFonts w:ascii="Times New Roman" w:eastAsia="SimSun" w:hAnsi="Times New Roman" w:cs="Times New Roman"/>
          <w:b/>
          <w:sz w:val="20"/>
          <w:szCs w:val="20"/>
          <w:lang w:val="x-none" w:eastAsia="x-none"/>
        </w:rPr>
        <w:fldChar w:fldCharType="separate"/>
      </w:r>
      <w:r w:rsidR="008F12DE" w:rsidRPr="008F12DE">
        <w:rPr>
          <w:rFonts w:ascii="Times New Roman" w:eastAsia="SimSun" w:hAnsi="Times New Roman" w:cs="Times New Roman"/>
          <w:b/>
          <w:sz w:val="20"/>
          <w:szCs w:val="20"/>
          <w:lang w:val="x-none" w:eastAsia="x-none"/>
        </w:rPr>
        <w:t>Proposal 3: Consider Table 1 when specifying the number of interrupted slots for victim serving cells.</w:t>
      </w:r>
      <w:r w:rsidRPr="00D471AA">
        <w:rPr>
          <w:rFonts w:ascii="Times New Roman" w:eastAsia="SimSun" w:hAnsi="Times New Roman" w:cs="Times New Roman"/>
          <w:b/>
          <w:sz w:val="20"/>
          <w:szCs w:val="20"/>
          <w:lang w:val="x-none" w:eastAsia="x-none"/>
        </w:rPr>
        <w:fldChar w:fldCharType="end"/>
      </w:r>
    </w:p>
    <w:p w:rsidR="00D471AA" w:rsidRDefault="00D471AA" w:rsidP="00972D5C">
      <w:pPr>
        <w:pStyle w:val="a5"/>
        <w:jc w:val="center"/>
        <w:rPr>
          <w:lang w:val="en-US"/>
        </w:rPr>
      </w:pPr>
      <w:r>
        <w:t xml:space="preserve">Table </w:t>
      </w:r>
      <w:r w:rsidR="008F12DE">
        <w:rPr>
          <w:lang w:val="en-US"/>
        </w:rPr>
        <w:t>1</w:t>
      </w:r>
      <w:r>
        <w:rPr>
          <w:lang w:val="en-US"/>
        </w:rPr>
        <w:t>. Number of interrupted slots</w:t>
      </w:r>
    </w:p>
    <w:tbl>
      <w:tblPr>
        <w:tblStyle w:val="ad"/>
        <w:tblW w:w="0" w:type="auto"/>
        <w:jc w:val="center"/>
        <w:tblLook w:val="04A0" w:firstRow="1" w:lastRow="0" w:firstColumn="1" w:lastColumn="0" w:noHBand="0" w:noVBand="1"/>
      </w:tblPr>
      <w:tblGrid>
        <w:gridCol w:w="2438"/>
        <w:gridCol w:w="1690"/>
        <w:gridCol w:w="1691"/>
      </w:tblGrid>
      <w:tr w:rsidR="00D471AA" w:rsidTr="00D471AA">
        <w:trPr>
          <w:trHeight w:val="227"/>
          <w:jc w:val="center"/>
        </w:trPr>
        <w:tc>
          <w:tcPr>
            <w:tcW w:w="2438" w:type="dxa"/>
            <w:shd w:val="clear" w:color="auto" w:fill="auto"/>
            <w:vAlign w:val="center"/>
          </w:tcPr>
          <w:p w:rsidR="00D471AA" w:rsidRPr="00D471AA" w:rsidRDefault="00D471AA" w:rsidP="00972D5C">
            <w:pPr>
              <w:jc w:val="center"/>
              <w:rPr>
                <w:rFonts w:ascii="Times New Roman" w:eastAsia="SimSun" w:hAnsi="Times New Roman" w:cs="Times New Roman"/>
                <w:b/>
                <w:sz w:val="20"/>
                <w:szCs w:val="20"/>
                <w:lang w:val="x-none" w:eastAsia="x-none"/>
              </w:rPr>
            </w:pPr>
          </w:p>
        </w:tc>
        <w:tc>
          <w:tcPr>
            <w:tcW w:w="3381" w:type="dxa"/>
            <w:gridSpan w:val="2"/>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Number of interrupted slots</w:t>
            </w:r>
          </w:p>
        </w:tc>
      </w:tr>
      <w:tr w:rsidR="00D471AA" w:rsidTr="00D471AA">
        <w:trPr>
          <w:trHeight w:val="227"/>
          <w:jc w:val="center"/>
        </w:trPr>
        <w:tc>
          <w:tcPr>
            <w:tcW w:w="2438" w:type="dxa"/>
            <w:shd w:val="clear" w:color="auto" w:fill="auto"/>
            <w:vAlign w:val="center"/>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SCS of victim serving cell</w:t>
            </w:r>
          </w:p>
        </w:tc>
        <w:tc>
          <w:tcPr>
            <w:tcW w:w="1690"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Pr>
                <w:rFonts w:ascii="Times New Roman" w:eastAsia="SimSun" w:hAnsi="Times New Roman" w:cs="Times New Roman"/>
                <w:b/>
                <w:sz w:val="20"/>
                <w:szCs w:val="20"/>
                <w:lang w:eastAsia="x-none"/>
              </w:rPr>
              <w:t>S</w:t>
            </w:r>
            <w:r w:rsidRPr="00D471AA">
              <w:rPr>
                <w:rFonts w:ascii="Times New Roman" w:eastAsia="SimSun" w:hAnsi="Times New Roman" w:cs="Times New Roman"/>
                <w:b/>
                <w:sz w:val="20"/>
                <w:szCs w:val="20"/>
                <w:lang w:val="x-none" w:eastAsia="x-none"/>
              </w:rPr>
              <w:t>ync</w:t>
            </w:r>
          </w:p>
        </w:tc>
        <w:tc>
          <w:tcPr>
            <w:tcW w:w="1691" w:type="dxa"/>
            <w:shd w:val="clear" w:color="auto" w:fill="auto"/>
          </w:tcPr>
          <w:p w:rsidR="00D471AA" w:rsidRDefault="00D471AA" w:rsidP="00972D5C">
            <w:pPr>
              <w:jc w:val="center"/>
              <w:rPr>
                <w:sz w:val="20"/>
              </w:rPr>
            </w:pPr>
            <w:r>
              <w:rPr>
                <w:rFonts w:ascii="Times New Roman" w:eastAsia="SimSun" w:hAnsi="Times New Roman" w:cs="Times New Roman"/>
                <w:b/>
                <w:sz w:val="20"/>
                <w:szCs w:val="20"/>
                <w:lang w:eastAsia="x-none"/>
              </w:rPr>
              <w:t>A</w:t>
            </w:r>
            <w:r w:rsidRPr="00D471AA">
              <w:rPr>
                <w:rFonts w:ascii="Times New Roman" w:eastAsia="SimSun" w:hAnsi="Times New Roman" w:cs="Times New Roman"/>
                <w:b/>
                <w:sz w:val="20"/>
                <w:szCs w:val="20"/>
                <w:lang w:val="x-none" w:eastAsia="x-none"/>
              </w:rPr>
              <w:t>sync</w:t>
            </w:r>
          </w:p>
        </w:tc>
      </w:tr>
      <w:tr w:rsidR="00D471AA" w:rsidTr="00D471AA">
        <w:trPr>
          <w:trHeight w:val="227"/>
          <w:jc w:val="center"/>
        </w:trPr>
        <w:tc>
          <w:tcPr>
            <w:tcW w:w="2438"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15KHz</w:t>
            </w:r>
          </w:p>
        </w:tc>
        <w:tc>
          <w:tcPr>
            <w:tcW w:w="1690"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1</w:t>
            </w:r>
          </w:p>
        </w:tc>
        <w:tc>
          <w:tcPr>
            <w:tcW w:w="1691"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2</w:t>
            </w:r>
          </w:p>
        </w:tc>
      </w:tr>
      <w:tr w:rsidR="00D471AA" w:rsidTr="00D471AA">
        <w:trPr>
          <w:trHeight w:val="227"/>
          <w:jc w:val="center"/>
        </w:trPr>
        <w:tc>
          <w:tcPr>
            <w:tcW w:w="2438"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30KHz</w:t>
            </w:r>
          </w:p>
        </w:tc>
        <w:tc>
          <w:tcPr>
            <w:tcW w:w="1690"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1</w:t>
            </w:r>
          </w:p>
        </w:tc>
        <w:tc>
          <w:tcPr>
            <w:tcW w:w="1691"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2</w:t>
            </w:r>
          </w:p>
        </w:tc>
      </w:tr>
      <w:tr w:rsidR="00D471AA" w:rsidTr="00D471AA">
        <w:trPr>
          <w:trHeight w:val="227"/>
          <w:jc w:val="center"/>
        </w:trPr>
        <w:tc>
          <w:tcPr>
            <w:tcW w:w="2438"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60KHz</w:t>
            </w:r>
          </w:p>
        </w:tc>
        <w:tc>
          <w:tcPr>
            <w:tcW w:w="3381" w:type="dxa"/>
            <w:gridSpan w:val="2"/>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3</w:t>
            </w:r>
          </w:p>
        </w:tc>
      </w:tr>
      <w:tr w:rsidR="00D471AA" w:rsidTr="00D471AA">
        <w:trPr>
          <w:trHeight w:val="227"/>
          <w:jc w:val="center"/>
        </w:trPr>
        <w:tc>
          <w:tcPr>
            <w:tcW w:w="2438" w:type="dxa"/>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120KHz</w:t>
            </w:r>
          </w:p>
        </w:tc>
        <w:tc>
          <w:tcPr>
            <w:tcW w:w="3381" w:type="dxa"/>
            <w:gridSpan w:val="2"/>
            <w:shd w:val="clear" w:color="auto" w:fill="auto"/>
          </w:tcPr>
          <w:p w:rsidR="00D471AA" w:rsidRPr="00D471AA" w:rsidRDefault="00D471AA" w:rsidP="00972D5C">
            <w:pPr>
              <w:jc w:val="center"/>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t>5</w:t>
            </w:r>
          </w:p>
        </w:tc>
      </w:tr>
    </w:tbl>
    <w:p w:rsidR="00D471AA" w:rsidRPr="00D471AA" w:rsidRDefault="00D471AA" w:rsidP="00972D5C">
      <w:pPr>
        <w:jc w:val="both"/>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fldChar w:fldCharType="begin"/>
      </w:r>
      <w:r w:rsidRPr="00D471AA">
        <w:rPr>
          <w:rFonts w:ascii="Times New Roman" w:eastAsia="SimSun" w:hAnsi="Times New Roman" w:cs="Times New Roman"/>
          <w:b/>
          <w:sz w:val="20"/>
          <w:szCs w:val="20"/>
          <w:lang w:val="x-none" w:eastAsia="x-none"/>
        </w:rPr>
        <w:instrText xml:space="preserve"> REF _Ref513559528 \h </w:instrText>
      </w:r>
      <w:r>
        <w:rPr>
          <w:rFonts w:ascii="Times New Roman" w:eastAsia="SimSun" w:hAnsi="Times New Roman" w:cs="Times New Roman"/>
          <w:b/>
          <w:sz w:val="20"/>
          <w:szCs w:val="20"/>
          <w:lang w:val="x-none" w:eastAsia="x-none"/>
        </w:rPr>
        <w:instrText xml:space="preserve"> \* MERGEFORMAT </w:instrText>
      </w:r>
      <w:r w:rsidRPr="00D471AA">
        <w:rPr>
          <w:rFonts w:ascii="Times New Roman" w:eastAsia="SimSun" w:hAnsi="Times New Roman" w:cs="Times New Roman"/>
          <w:b/>
          <w:sz w:val="20"/>
          <w:szCs w:val="20"/>
          <w:lang w:val="x-none" w:eastAsia="x-none"/>
        </w:rPr>
      </w:r>
      <w:r w:rsidRPr="00D471AA">
        <w:rPr>
          <w:rFonts w:ascii="Times New Roman" w:eastAsia="SimSun" w:hAnsi="Times New Roman" w:cs="Times New Roman"/>
          <w:b/>
          <w:sz w:val="20"/>
          <w:szCs w:val="20"/>
          <w:lang w:val="x-none" w:eastAsia="x-none"/>
        </w:rPr>
        <w:fldChar w:fldCharType="separate"/>
      </w:r>
      <w:r w:rsidR="008F12DE" w:rsidRPr="008F12DE">
        <w:rPr>
          <w:rFonts w:ascii="Times New Roman" w:eastAsia="SimSun" w:hAnsi="Times New Roman" w:cs="Times New Roman"/>
          <w:b/>
          <w:sz w:val="20"/>
          <w:szCs w:val="20"/>
          <w:lang w:val="x-none" w:eastAsia="x-none"/>
        </w:rPr>
        <w:t>Proposal 4: BWP reconfiguration scenarios 4 will cause interruption to other serving cells in all FRs.</w:t>
      </w:r>
      <w:r w:rsidRPr="00D471AA">
        <w:rPr>
          <w:rFonts w:ascii="Times New Roman" w:eastAsia="SimSun" w:hAnsi="Times New Roman" w:cs="Times New Roman"/>
          <w:b/>
          <w:sz w:val="20"/>
          <w:szCs w:val="20"/>
          <w:lang w:val="x-none" w:eastAsia="x-none"/>
        </w:rPr>
        <w:fldChar w:fldCharType="end"/>
      </w:r>
    </w:p>
    <w:p w:rsidR="00BF44DE" w:rsidRPr="00D471AA" w:rsidRDefault="00D471AA" w:rsidP="00972D5C">
      <w:pPr>
        <w:jc w:val="both"/>
        <w:rPr>
          <w:rFonts w:ascii="Times New Roman" w:eastAsia="SimSun" w:hAnsi="Times New Roman" w:cs="Times New Roman"/>
          <w:b/>
          <w:sz w:val="20"/>
          <w:szCs w:val="20"/>
          <w:lang w:val="x-none" w:eastAsia="x-none"/>
        </w:rPr>
      </w:pPr>
      <w:r w:rsidRPr="00D471AA">
        <w:rPr>
          <w:rFonts w:ascii="Times New Roman" w:eastAsia="SimSun" w:hAnsi="Times New Roman" w:cs="Times New Roman"/>
          <w:b/>
          <w:sz w:val="20"/>
          <w:szCs w:val="20"/>
          <w:lang w:val="x-none" w:eastAsia="x-none"/>
        </w:rPr>
        <w:fldChar w:fldCharType="begin"/>
      </w:r>
      <w:r w:rsidRPr="00D471AA">
        <w:rPr>
          <w:rFonts w:ascii="Times New Roman" w:eastAsia="SimSun" w:hAnsi="Times New Roman" w:cs="Times New Roman"/>
          <w:b/>
          <w:sz w:val="20"/>
          <w:szCs w:val="20"/>
          <w:lang w:val="x-none" w:eastAsia="x-none"/>
        </w:rPr>
        <w:instrText xml:space="preserve"> REF _Ref513559536 \h </w:instrText>
      </w:r>
      <w:r>
        <w:rPr>
          <w:rFonts w:ascii="Times New Roman" w:eastAsia="SimSun" w:hAnsi="Times New Roman" w:cs="Times New Roman"/>
          <w:b/>
          <w:sz w:val="20"/>
          <w:szCs w:val="20"/>
          <w:lang w:val="x-none" w:eastAsia="x-none"/>
        </w:rPr>
        <w:instrText xml:space="preserve"> \* MERGEFORMAT </w:instrText>
      </w:r>
      <w:r w:rsidRPr="00D471AA">
        <w:rPr>
          <w:rFonts w:ascii="Times New Roman" w:eastAsia="SimSun" w:hAnsi="Times New Roman" w:cs="Times New Roman"/>
          <w:b/>
          <w:sz w:val="20"/>
          <w:szCs w:val="20"/>
          <w:lang w:val="x-none" w:eastAsia="x-none"/>
        </w:rPr>
      </w:r>
      <w:r w:rsidRPr="00D471AA">
        <w:rPr>
          <w:rFonts w:ascii="Times New Roman" w:eastAsia="SimSun" w:hAnsi="Times New Roman" w:cs="Times New Roman"/>
          <w:b/>
          <w:sz w:val="20"/>
          <w:szCs w:val="20"/>
          <w:lang w:val="x-none" w:eastAsia="x-none"/>
        </w:rPr>
        <w:fldChar w:fldCharType="separate"/>
      </w:r>
      <w:r w:rsidR="008F12DE" w:rsidRPr="008F12DE">
        <w:rPr>
          <w:rFonts w:ascii="Times New Roman" w:eastAsia="SimSun" w:hAnsi="Times New Roman" w:cs="Times New Roman"/>
          <w:b/>
          <w:sz w:val="20"/>
          <w:szCs w:val="20"/>
          <w:lang w:val="x-none" w:eastAsia="x-none"/>
        </w:rPr>
        <w:t>Proposal 5: There is no interruption to other serving cells if only baseband parameters are changed in the BWP switching. But interruption on the BWP-switching CC is expected.</w:t>
      </w:r>
      <w:r w:rsidRPr="00D471AA">
        <w:rPr>
          <w:rFonts w:ascii="Times New Roman" w:eastAsia="SimSun" w:hAnsi="Times New Roman" w:cs="Times New Roman"/>
          <w:b/>
          <w:sz w:val="20"/>
          <w:szCs w:val="20"/>
          <w:lang w:val="x-none" w:eastAsia="x-none"/>
        </w:rPr>
        <w:fldChar w:fldCharType="end"/>
      </w:r>
    </w:p>
    <w:bookmarkEnd w:id="14"/>
    <w:p w:rsidR="00AF7AA6" w:rsidRDefault="00AC359E"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FC37B4" w:rsidRPr="00FC37B4" w:rsidRDefault="00AF7AA6" w:rsidP="00924C4F">
      <w:pPr>
        <w:pStyle w:val="1"/>
        <w:ind w:left="0" w:firstLine="0"/>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191CCD" w:rsidRPr="00191CCD">
        <w:rPr>
          <w:rFonts w:ascii="Calibri" w:eastAsia="新細明體" w:hAnsi="Calibri" w:cs="Calibri"/>
          <w:color w:val="0D0D0D"/>
          <w:sz w:val="20"/>
          <w:lang w:val="en-US" w:eastAsia="zh-TW"/>
        </w:rPr>
        <w:t>R4-180</w:t>
      </w:r>
      <w:r w:rsidR="001455B7">
        <w:rPr>
          <w:rFonts w:ascii="Calibri" w:eastAsia="新細明體" w:hAnsi="Calibri" w:cs="Calibri"/>
          <w:color w:val="0D0D0D"/>
          <w:sz w:val="20"/>
          <w:lang w:val="en-US" w:eastAsia="zh-TW"/>
        </w:rPr>
        <w:t>8001</w:t>
      </w:r>
      <w:r w:rsidR="004708EF">
        <w:rPr>
          <w:rFonts w:ascii="Calibri" w:eastAsia="新細明體" w:hAnsi="Calibri" w:cs="Calibri"/>
          <w:color w:val="0D0D0D"/>
          <w:sz w:val="20"/>
          <w:lang w:eastAsia="zh-TW"/>
        </w:rPr>
        <w:t>, “</w:t>
      </w:r>
      <w:r w:rsidR="001455B7" w:rsidRPr="001455B7">
        <w:rPr>
          <w:rFonts w:ascii="Calibri" w:eastAsia="新細明體" w:hAnsi="Calibri" w:cs="Calibri"/>
          <w:color w:val="0D0D0D"/>
          <w:sz w:val="20"/>
          <w:lang w:val="en-US" w:eastAsia="zh-TW"/>
        </w:rPr>
        <w:t>Wayforward on BWP switching</w:t>
      </w:r>
      <w:r w:rsidR="004708EF">
        <w:rPr>
          <w:rFonts w:ascii="Calibri" w:eastAsia="新細明體" w:hAnsi="Calibri" w:cs="Calibri"/>
          <w:color w:val="0D0D0D"/>
          <w:sz w:val="20"/>
          <w:lang w:eastAsia="zh-TW"/>
        </w:rPr>
        <w:t xml:space="preserve">”, </w:t>
      </w:r>
      <w:r w:rsidR="001455B7" w:rsidRPr="001455B7">
        <w:rPr>
          <w:rFonts w:ascii="Calibri" w:eastAsia="新細明體" w:hAnsi="Calibri" w:cs="Calibri"/>
          <w:color w:val="0D0D0D"/>
          <w:sz w:val="20"/>
          <w:lang w:val="en-US" w:eastAsia="zh-TW"/>
        </w:rPr>
        <w:t>Mediatek</w:t>
      </w:r>
    </w:p>
    <w:p w:rsidR="00FC37B4" w:rsidRDefault="00FC37B4" w:rsidP="00FC37B4">
      <w:pPr>
        <w:rPr>
          <w:lang w:eastAsia="zh-TW"/>
        </w:rPr>
      </w:pPr>
    </w:p>
    <w:sectPr w:rsidR="00FC37B4"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4D8" w:rsidRDefault="002C04D8" w:rsidP="008B46F2">
      <w:pPr>
        <w:spacing w:after="0" w:line="240" w:lineRule="auto"/>
      </w:pPr>
      <w:r>
        <w:separator/>
      </w:r>
    </w:p>
  </w:endnote>
  <w:endnote w:type="continuationSeparator" w:id="0">
    <w:p w:rsidR="002C04D8" w:rsidRDefault="002C04D8"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4D8" w:rsidRDefault="002C04D8" w:rsidP="008B46F2">
      <w:pPr>
        <w:spacing w:after="0" w:line="240" w:lineRule="auto"/>
      </w:pPr>
      <w:r>
        <w:separator/>
      </w:r>
    </w:p>
  </w:footnote>
  <w:footnote w:type="continuationSeparator" w:id="0">
    <w:p w:rsidR="002C04D8" w:rsidRDefault="002C04D8"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9F4"/>
    <w:multiLevelType w:val="hybridMultilevel"/>
    <w:tmpl w:val="312A70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942AEB"/>
    <w:multiLevelType w:val="hybridMultilevel"/>
    <w:tmpl w:val="459AA4C8"/>
    <w:lvl w:ilvl="0" w:tplc="1E143758">
      <w:start w:val="1"/>
      <w:numFmt w:val="bullet"/>
      <w:lvlText w:val="•"/>
      <w:lvlJc w:val="left"/>
      <w:pPr>
        <w:tabs>
          <w:tab w:val="num" w:pos="720"/>
        </w:tabs>
        <w:ind w:left="720" w:hanging="360"/>
      </w:pPr>
      <w:rPr>
        <w:rFonts w:ascii="Arial" w:hAnsi="Arial" w:hint="default"/>
      </w:rPr>
    </w:lvl>
    <w:lvl w:ilvl="1" w:tplc="BD10A520">
      <w:start w:val="100"/>
      <w:numFmt w:val="bullet"/>
      <w:lvlText w:val="•"/>
      <w:lvlJc w:val="left"/>
      <w:pPr>
        <w:tabs>
          <w:tab w:val="num" w:pos="1440"/>
        </w:tabs>
        <w:ind w:left="1440" w:hanging="360"/>
      </w:pPr>
      <w:rPr>
        <w:rFonts w:ascii="Arial" w:hAnsi="Arial" w:hint="default"/>
      </w:rPr>
    </w:lvl>
    <w:lvl w:ilvl="2" w:tplc="3DCE677C" w:tentative="1">
      <w:start w:val="1"/>
      <w:numFmt w:val="bullet"/>
      <w:lvlText w:val="•"/>
      <w:lvlJc w:val="left"/>
      <w:pPr>
        <w:tabs>
          <w:tab w:val="num" w:pos="2160"/>
        </w:tabs>
        <w:ind w:left="2160" w:hanging="360"/>
      </w:pPr>
      <w:rPr>
        <w:rFonts w:ascii="Arial" w:hAnsi="Arial" w:hint="default"/>
      </w:rPr>
    </w:lvl>
    <w:lvl w:ilvl="3" w:tplc="6EC84ACA" w:tentative="1">
      <w:start w:val="1"/>
      <w:numFmt w:val="bullet"/>
      <w:lvlText w:val="•"/>
      <w:lvlJc w:val="left"/>
      <w:pPr>
        <w:tabs>
          <w:tab w:val="num" w:pos="2880"/>
        </w:tabs>
        <w:ind w:left="2880" w:hanging="360"/>
      </w:pPr>
      <w:rPr>
        <w:rFonts w:ascii="Arial" w:hAnsi="Arial" w:hint="default"/>
      </w:rPr>
    </w:lvl>
    <w:lvl w:ilvl="4" w:tplc="8EC0E6F4" w:tentative="1">
      <w:start w:val="1"/>
      <w:numFmt w:val="bullet"/>
      <w:lvlText w:val="•"/>
      <w:lvlJc w:val="left"/>
      <w:pPr>
        <w:tabs>
          <w:tab w:val="num" w:pos="3600"/>
        </w:tabs>
        <w:ind w:left="3600" w:hanging="360"/>
      </w:pPr>
      <w:rPr>
        <w:rFonts w:ascii="Arial" w:hAnsi="Arial" w:hint="default"/>
      </w:rPr>
    </w:lvl>
    <w:lvl w:ilvl="5" w:tplc="9D624BAA" w:tentative="1">
      <w:start w:val="1"/>
      <w:numFmt w:val="bullet"/>
      <w:lvlText w:val="•"/>
      <w:lvlJc w:val="left"/>
      <w:pPr>
        <w:tabs>
          <w:tab w:val="num" w:pos="4320"/>
        </w:tabs>
        <w:ind w:left="4320" w:hanging="360"/>
      </w:pPr>
      <w:rPr>
        <w:rFonts w:ascii="Arial" w:hAnsi="Arial" w:hint="default"/>
      </w:rPr>
    </w:lvl>
    <w:lvl w:ilvl="6" w:tplc="0928988C" w:tentative="1">
      <w:start w:val="1"/>
      <w:numFmt w:val="bullet"/>
      <w:lvlText w:val="•"/>
      <w:lvlJc w:val="left"/>
      <w:pPr>
        <w:tabs>
          <w:tab w:val="num" w:pos="5040"/>
        </w:tabs>
        <w:ind w:left="5040" w:hanging="360"/>
      </w:pPr>
      <w:rPr>
        <w:rFonts w:ascii="Arial" w:hAnsi="Arial" w:hint="default"/>
      </w:rPr>
    </w:lvl>
    <w:lvl w:ilvl="7" w:tplc="A9908756" w:tentative="1">
      <w:start w:val="1"/>
      <w:numFmt w:val="bullet"/>
      <w:lvlText w:val="•"/>
      <w:lvlJc w:val="left"/>
      <w:pPr>
        <w:tabs>
          <w:tab w:val="num" w:pos="5760"/>
        </w:tabs>
        <w:ind w:left="5760" w:hanging="360"/>
      </w:pPr>
      <w:rPr>
        <w:rFonts w:ascii="Arial" w:hAnsi="Arial" w:hint="default"/>
      </w:rPr>
    </w:lvl>
    <w:lvl w:ilvl="8" w:tplc="5E3EC9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622C9C"/>
    <w:multiLevelType w:val="hybridMultilevel"/>
    <w:tmpl w:val="42F66904"/>
    <w:lvl w:ilvl="0" w:tplc="4DD0824E">
      <w:start w:val="1"/>
      <w:numFmt w:val="bullet"/>
      <w:lvlText w:val="•"/>
      <w:lvlJc w:val="left"/>
      <w:pPr>
        <w:tabs>
          <w:tab w:val="num" w:pos="720"/>
        </w:tabs>
        <w:ind w:left="720" w:hanging="360"/>
      </w:pPr>
      <w:rPr>
        <w:rFonts w:ascii="Arial" w:hAnsi="Arial" w:hint="default"/>
      </w:rPr>
    </w:lvl>
    <w:lvl w:ilvl="1" w:tplc="918E8A0A" w:tentative="1">
      <w:start w:val="1"/>
      <w:numFmt w:val="bullet"/>
      <w:lvlText w:val="•"/>
      <w:lvlJc w:val="left"/>
      <w:pPr>
        <w:tabs>
          <w:tab w:val="num" w:pos="1440"/>
        </w:tabs>
        <w:ind w:left="1440" w:hanging="360"/>
      </w:pPr>
      <w:rPr>
        <w:rFonts w:ascii="Arial" w:hAnsi="Arial" w:hint="default"/>
      </w:rPr>
    </w:lvl>
    <w:lvl w:ilvl="2" w:tplc="13B41F64" w:tentative="1">
      <w:start w:val="1"/>
      <w:numFmt w:val="bullet"/>
      <w:lvlText w:val="•"/>
      <w:lvlJc w:val="left"/>
      <w:pPr>
        <w:tabs>
          <w:tab w:val="num" w:pos="2160"/>
        </w:tabs>
        <w:ind w:left="2160" w:hanging="360"/>
      </w:pPr>
      <w:rPr>
        <w:rFonts w:ascii="Arial" w:hAnsi="Arial" w:hint="default"/>
      </w:rPr>
    </w:lvl>
    <w:lvl w:ilvl="3" w:tplc="95D81D22" w:tentative="1">
      <w:start w:val="1"/>
      <w:numFmt w:val="bullet"/>
      <w:lvlText w:val="•"/>
      <w:lvlJc w:val="left"/>
      <w:pPr>
        <w:tabs>
          <w:tab w:val="num" w:pos="2880"/>
        </w:tabs>
        <w:ind w:left="2880" w:hanging="360"/>
      </w:pPr>
      <w:rPr>
        <w:rFonts w:ascii="Arial" w:hAnsi="Arial" w:hint="default"/>
      </w:rPr>
    </w:lvl>
    <w:lvl w:ilvl="4" w:tplc="07ACC97E" w:tentative="1">
      <w:start w:val="1"/>
      <w:numFmt w:val="bullet"/>
      <w:lvlText w:val="•"/>
      <w:lvlJc w:val="left"/>
      <w:pPr>
        <w:tabs>
          <w:tab w:val="num" w:pos="3600"/>
        </w:tabs>
        <w:ind w:left="3600" w:hanging="360"/>
      </w:pPr>
      <w:rPr>
        <w:rFonts w:ascii="Arial" w:hAnsi="Arial" w:hint="default"/>
      </w:rPr>
    </w:lvl>
    <w:lvl w:ilvl="5" w:tplc="92CAEC2E" w:tentative="1">
      <w:start w:val="1"/>
      <w:numFmt w:val="bullet"/>
      <w:lvlText w:val="•"/>
      <w:lvlJc w:val="left"/>
      <w:pPr>
        <w:tabs>
          <w:tab w:val="num" w:pos="4320"/>
        </w:tabs>
        <w:ind w:left="4320" w:hanging="360"/>
      </w:pPr>
      <w:rPr>
        <w:rFonts w:ascii="Arial" w:hAnsi="Arial" w:hint="default"/>
      </w:rPr>
    </w:lvl>
    <w:lvl w:ilvl="6" w:tplc="65248BAC" w:tentative="1">
      <w:start w:val="1"/>
      <w:numFmt w:val="bullet"/>
      <w:lvlText w:val="•"/>
      <w:lvlJc w:val="left"/>
      <w:pPr>
        <w:tabs>
          <w:tab w:val="num" w:pos="5040"/>
        </w:tabs>
        <w:ind w:left="5040" w:hanging="360"/>
      </w:pPr>
      <w:rPr>
        <w:rFonts w:ascii="Arial" w:hAnsi="Arial" w:hint="default"/>
      </w:rPr>
    </w:lvl>
    <w:lvl w:ilvl="7" w:tplc="B5482CBC" w:tentative="1">
      <w:start w:val="1"/>
      <w:numFmt w:val="bullet"/>
      <w:lvlText w:val="•"/>
      <w:lvlJc w:val="left"/>
      <w:pPr>
        <w:tabs>
          <w:tab w:val="num" w:pos="5760"/>
        </w:tabs>
        <w:ind w:left="5760" w:hanging="360"/>
      </w:pPr>
      <w:rPr>
        <w:rFonts w:ascii="Arial" w:hAnsi="Arial" w:hint="default"/>
      </w:rPr>
    </w:lvl>
    <w:lvl w:ilvl="8" w:tplc="8C04FD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4410D3"/>
    <w:multiLevelType w:val="hybridMultilevel"/>
    <w:tmpl w:val="437A2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3980A61"/>
    <w:multiLevelType w:val="hybridMultilevel"/>
    <w:tmpl w:val="BB262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EF0645"/>
    <w:multiLevelType w:val="hybridMultilevel"/>
    <w:tmpl w:val="55A4E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F91858"/>
    <w:multiLevelType w:val="hybridMultilevel"/>
    <w:tmpl w:val="23A00066"/>
    <w:lvl w:ilvl="0" w:tplc="B5086CAA">
      <w:start w:val="1"/>
      <w:numFmt w:val="bullet"/>
      <w:lvlText w:val="•"/>
      <w:lvlJc w:val="left"/>
      <w:pPr>
        <w:tabs>
          <w:tab w:val="num" w:pos="720"/>
        </w:tabs>
        <w:ind w:left="720" w:hanging="360"/>
      </w:pPr>
      <w:rPr>
        <w:rFonts w:ascii="Arial" w:hAnsi="Arial" w:hint="default"/>
      </w:rPr>
    </w:lvl>
    <w:lvl w:ilvl="1" w:tplc="573CF062">
      <w:start w:val="63"/>
      <w:numFmt w:val="bullet"/>
      <w:lvlText w:val="–"/>
      <w:lvlJc w:val="left"/>
      <w:pPr>
        <w:tabs>
          <w:tab w:val="num" w:pos="1440"/>
        </w:tabs>
        <w:ind w:left="1440" w:hanging="360"/>
      </w:pPr>
      <w:rPr>
        <w:rFonts w:ascii="Arial" w:hAnsi="Arial" w:hint="default"/>
      </w:rPr>
    </w:lvl>
    <w:lvl w:ilvl="2" w:tplc="77E4E1FA">
      <w:start w:val="63"/>
      <w:numFmt w:val="bullet"/>
      <w:lvlText w:val="•"/>
      <w:lvlJc w:val="left"/>
      <w:pPr>
        <w:tabs>
          <w:tab w:val="num" w:pos="2160"/>
        </w:tabs>
        <w:ind w:left="2160" w:hanging="360"/>
      </w:pPr>
      <w:rPr>
        <w:rFonts w:ascii="Arial" w:hAnsi="Arial" w:hint="default"/>
      </w:rPr>
    </w:lvl>
    <w:lvl w:ilvl="3" w:tplc="B4F6E2EC" w:tentative="1">
      <w:start w:val="1"/>
      <w:numFmt w:val="bullet"/>
      <w:lvlText w:val="•"/>
      <w:lvlJc w:val="left"/>
      <w:pPr>
        <w:tabs>
          <w:tab w:val="num" w:pos="2880"/>
        </w:tabs>
        <w:ind w:left="2880" w:hanging="360"/>
      </w:pPr>
      <w:rPr>
        <w:rFonts w:ascii="Arial" w:hAnsi="Arial" w:hint="default"/>
      </w:rPr>
    </w:lvl>
    <w:lvl w:ilvl="4" w:tplc="182223C4" w:tentative="1">
      <w:start w:val="1"/>
      <w:numFmt w:val="bullet"/>
      <w:lvlText w:val="•"/>
      <w:lvlJc w:val="left"/>
      <w:pPr>
        <w:tabs>
          <w:tab w:val="num" w:pos="3600"/>
        </w:tabs>
        <w:ind w:left="3600" w:hanging="360"/>
      </w:pPr>
      <w:rPr>
        <w:rFonts w:ascii="Arial" w:hAnsi="Arial" w:hint="default"/>
      </w:rPr>
    </w:lvl>
    <w:lvl w:ilvl="5" w:tplc="5AA24A44" w:tentative="1">
      <w:start w:val="1"/>
      <w:numFmt w:val="bullet"/>
      <w:lvlText w:val="•"/>
      <w:lvlJc w:val="left"/>
      <w:pPr>
        <w:tabs>
          <w:tab w:val="num" w:pos="4320"/>
        </w:tabs>
        <w:ind w:left="4320" w:hanging="360"/>
      </w:pPr>
      <w:rPr>
        <w:rFonts w:ascii="Arial" w:hAnsi="Arial" w:hint="default"/>
      </w:rPr>
    </w:lvl>
    <w:lvl w:ilvl="6" w:tplc="A0DEFEA4" w:tentative="1">
      <w:start w:val="1"/>
      <w:numFmt w:val="bullet"/>
      <w:lvlText w:val="•"/>
      <w:lvlJc w:val="left"/>
      <w:pPr>
        <w:tabs>
          <w:tab w:val="num" w:pos="5040"/>
        </w:tabs>
        <w:ind w:left="5040" w:hanging="360"/>
      </w:pPr>
      <w:rPr>
        <w:rFonts w:ascii="Arial" w:hAnsi="Arial" w:hint="default"/>
      </w:rPr>
    </w:lvl>
    <w:lvl w:ilvl="7" w:tplc="750E308E" w:tentative="1">
      <w:start w:val="1"/>
      <w:numFmt w:val="bullet"/>
      <w:lvlText w:val="•"/>
      <w:lvlJc w:val="left"/>
      <w:pPr>
        <w:tabs>
          <w:tab w:val="num" w:pos="5760"/>
        </w:tabs>
        <w:ind w:left="5760" w:hanging="360"/>
      </w:pPr>
      <w:rPr>
        <w:rFonts w:ascii="Arial" w:hAnsi="Arial" w:hint="default"/>
      </w:rPr>
    </w:lvl>
    <w:lvl w:ilvl="8" w:tplc="3EA6CD7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30"/>
  </w:num>
  <w:num w:numId="4">
    <w:abstractNumId w:val="10"/>
  </w:num>
  <w:num w:numId="5">
    <w:abstractNumId w:val="41"/>
  </w:num>
  <w:num w:numId="6">
    <w:abstractNumId w:val="28"/>
  </w:num>
  <w:num w:numId="7">
    <w:abstractNumId w:val="35"/>
  </w:num>
  <w:num w:numId="8">
    <w:abstractNumId w:val="8"/>
  </w:num>
  <w:num w:numId="9">
    <w:abstractNumId w:val="20"/>
  </w:num>
  <w:num w:numId="10">
    <w:abstractNumId w:val="15"/>
  </w:num>
  <w:num w:numId="11">
    <w:abstractNumId w:val="13"/>
  </w:num>
  <w:num w:numId="12">
    <w:abstractNumId w:val="2"/>
  </w:num>
  <w:num w:numId="13">
    <w:abstractNumId w:val="9"/>
  </w:num>
  <w:num w:numId="14">
    <w:abstractNumId w:val="1"/>
  </w:num>
  <w:num w:numId="15">
    <w:abstractNumId w:val="19"/>
  </w:num>
  <w:num w:numId="16">
    <w:abstractNumId w:val="43"/>
  </w:num>
  <w:num w:numId="17">
    <w:abstractNumId w:val="27"/>
  </w:num>
  <w:num w:numId="18">
    <w:abstractNumId w:val="31"/>
  </w:num>
  <w:num w:numId="19">
    <w:abstractNumId w:val="17"/>
  </w:num>
  <w:num w:numId="20">
    <w:abstractNumId w:val="11"/>
  </w:num>
  <w:num w:numId="21">
    <w:abstractNumId w:val="37"/>
  </w:num>
  <w:num w:numId="22">
    <w:abstractNumId w:val="26"/>
  </w:num>
  <w:num w:numId="23">
    <w:abstractNumId w:val="45"/>
  </w:num>
  <w:num w:numId="24">
    <w:abstractNumId w:val="5"/>
  </w:num>
  <w:num w:numId="25">
    <w:abstractNumId w:val="36"/>
  </w:num>
  <w:num w:numId="26">
    <w:abstractNumId w:val="34"/>
  </w:num>
  <w:num w:numId="27">
    <w:abstractNumId w:val="16"/>
  </w:num>
  <w:num w:numId="28">
    <w:abstractNumId w:val="4"/>
  </w:num>
  <w:num w:numId="29">
    <w:abstractNumId w:val="24"/>
  </w:num>
  <w:num w:numId="30">
    <w:abstractNumId w:val="38"/>
  </w:num>
  <w:num w:numId="31">
    <w:abstractNumId w:val="33"/>
  </w:num>
  <w:num w:numId="32">
    <w:abstractNumId w:val="22"/>
  </w:num>
  <w:num w:numId="33">
    <w:abstractNumId w:val="42"/>
  </w:num>
  <w:num w:numId="34">
    <w:abstractNumId w:val="6"/>
  </w:num>
  <w:num w:numId="35">
    <w:abstractNumId w:val="46"/>
  </w:num>
  <w:num w:numId="36">
    <w:abstractNumId w:val="32"/>
  </w:num>
  <w:num w:numId="37">
    <w:abstractNumId w:val="21"/>
  </w:num>
  <w:num w:numId="38">
    <w:abstractNumId w:val="25"/>
  </w:num>
  <w:num w:numId="39">
    <w:abstractNumId w:val="7"/>
  </w:num>
  <w:num w:numId="40">
    <w:abstractNumId w:val="14"/>
  </w:num>
  <w:num w:numId="41">
    <w:abstractNumId w:val="23"/>
  </w:num>
  <w:num w:numId="42">
    <w:abstractNumId w:val="12"/>
  </w:num>
  <w:num w:numId="43">
    <w:abstractNumId w:val="3"/>
  </w:num>
  <w:num w:numId="44">
    <w:abstractNumId w:val="29"/>
  </w:num>
  <w:num w:numId="45">
    <w:abstractNumId w:val="18"/>
  </w:num>
  <w:num w:numId="46">
    <w:abstractNumId w:val="0"/>
  </w:num>
  <w:num w:numId="47">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2C73"/>
    <w:rsid w:val="00053C66"/>
    <w:rsid w:val="000553EB"/>
    <w:rsid w:val="00055B1C"/>
    <w:rsid w:val="000627DD"/>
    <w:rsid w:val="000629FD"/>
    <w:rsid w:val="00065A8B"/>
    <w:rsid w:val="00065C5F"/>
    <w:rsid w:val="00067FE4"/>
    <w:rsid w:val="0007461A"/>
    <w:rsid w:val="00075BFA"/>
    <w:rsid w:val="00076550"/>
    <w:rsid w:val="00076F85"/>
    <w:rsid w:val="00085372"/>
    <w:rsid w:val="00091660"/>
    <w:rsid w:val="0009445D"/>
    <w:rsid w:val="000946FA"/>
    <w:rsid w:val="00094D42"/>
    <w:rsid w:val="000952FD"/>
    <w:rsid w:val="000A11A9"/>
    <w:rsid w:val="000A5D7A"/>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6EAE"/>
    <w:rsid w:val="001009C1"/>
    <w:rsid w:val="0010295D"/>
    <w:rsid w:val="00104301"/>
    <w:rsid w:val="001045F6"/>
    <w:rsid w:val="001053AF"/>
    <w:rsid w:val="001057E4"/>
    <w:rsid w:val="00106492"/>
    <w:rsid w:val="001102B8"/>
    <w:rsid w:val="0011370F"/>
    <w:rsid w:val="00122F51"/>
    <w:rsid w:val="001249B3"/>
    <w:rsid w:val="00124F09"/>
    <w:rsid w:val="00124FD2"/>
    <w:rsid w:val="001253A0"/>
    <w:rsid w:val="00142A74"/>
    <w:rsid w:val="00142F86"/>
    <w:rsid w:val="00143177"/>
    <w:rsid w:val="00143658"/>
    <w:rsid w:val="001455B7"/>
    <w:rsid w:val="00150268"/>
    <w:rsid w:val="001507E0"/>
    <w:rsid w:val="001541F0"/>
    <w:rsid w:val="00154C2A"/>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7665E"/>
    <w:rsid w:val="00280E37"/>
    <w:rsid w:val="00282F42"/>
    <w:rsid w:val="00290EB5"/>
    <w:rsid w:val="00292CCC"/>
    <w:rsid w:val="002942C0"/>
    <w:rsid w:val="00295E51"/>
    <w:rsid w:val="00295E8D"/>
    <w:rsid w:val="002A202E"/>
    <w:rsid w:val="002A392D"/>
    <w:rsid w:val="002A555A"/>
    <w:rsid w:val="002B072E"/>
    <w:rsid w:val="002B0E88"/>
    <w:rsid w:val="002B2097"/>
    <w:rsid w:val="002B521C"/>
    <w:rsid w:val="002C04D8"/>
    <w:rsid w:val="002C1909"/>
    <w:rsid w:val="002C1C95"/>
    <w:rsid w:val="002C51B9"/>
    <w:rsid w:val="002C71EF"/>
    <w:rsid w:val="002D1433"/>
    <w:rsid w:val="002D2689"/>
    <w:rsid w:val="002D6067"/>
    <w:rsid w:val="002D655E"/>
    <w:rsid w:val="002E6354"/>
    <w:rsid w:val="002E73B3"/>
    <w:rsid w:val="002E7C2F"/>
    <w:rsid w:val="002F01F6"/>
    <w:rsid w:val="002F275D"/>
    <w:rsid w:val="002F2F83"/>
    <w:rsid w:val="00300462"/>
    <w:rsid w:val="00300C80"/>
    <w:rsid w:val="00305ED6"/>
    <w:rsid w:val="0030640A"/>
    <w:rsid w:val="00307A6F"/>
    <w:rsid w:val="00310753"/>
    <w:rsid w:val="0031309E"/>
    <w:rsid w:val="00316805"/>
    <w:rsid w:val="00317CB3"/>
    <w:rsid w:val="003225F1"/>
    <w:rsid w:val="00324B1E"/>
    <w:rsid w:val="00331B27"/>
    <w:rsid w:val="00331DB3"/>
    <w:rsid w:val="00332B16"/>
    <w:rsid w:val="00337EC4"/>
    <w:rsid w:val="00342262"/>
    <w:rsid w:val="0034272F"/>
    <w:rsid w:val="00355C00"/>
    <w:rsid w:val="00356391"/>
    <w:rsid w:val="003572BA"/>
    <w:rsid w:val="00361114"/>
    <w:rsid w:val="003621EF"/>
    <w:rsid w:val="003632BE"/>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693"/>
    <w:rsid w:val="00466D7F"/>
    <w:rsid w:val="00467337"/>
    <w:rsid w:val="00470794"/>
    <w:rsid w:val="004708EF"/>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E49B1"/>
    <w:rsid w:val="004F3668"/>
    <w:rsid w:val="004F77A6"/>
    <w:rsid w:val="00502D59"/>
    <w:rsid w:val="00503AD1"/>
    <w:rsid w:val="00505955"/>
    <w:rsid w:val="005059EE"/>
    <w:rsid w:val="005109F5"/>
    <w:rsid w:val="005130EB"/>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60D26"/>
    <w:rsid w:val="005722FF"/>
    <w:rsid w:val="00572C7D"/>
    <w:rsid w:val="005806E2"/>
    <w:rsid w:val="00583831"/>
    <w:rsid w:val="00585012"/>
    <w:rsid w:val="005865DF"/>
    <w:rsid w:val="00587CCC"/>
    <w:rsid w:val="00590862"/>
    <w:rsid w:val="00590D9F"/>
    <w:rsid w:val="005917E4"/>
    <w:rsid w:val="00592813"/>
    <w:rsid w:val="00593B3B"/>
    <w:rsid w:val="005A0D71"/>
    <w:rsid w:val="005A15EA"/>
    <w:rsid w:val="005A6878"/>
    <w:rsid w:val="005B1303"/>
    <w:rsid w:val="005B1696"/>
    <w:rsid w:val="005B20E8"/>
    <w:rsid w:val="005B42D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2708"/>
    <w:rsid w:val="00644231"/>
    <w:rsid w:val="00644D7A"/>
    <w:rsid w:val="006476E5"/>
    <w:rsid w:val="006502BE"/>
    <w:rsid w:val="006534DB"/>
    <w:rsid w:val="00655D3D"/>
    <w:rsid w:val="0066047D"/>
    <w:rsid w:val="00660484"/>
    <w:rsid w:val="006720CC"/>
    <w:rsid w:val="0067409D"/>
    <w:rsid w:val="006814B5"/>
    <w:rsid w:val="00685F43"/>
    <w:rsid w:val="0069259D"/>
    <w:rsid w:val="00693CDA"/>
    <w:rsid w:val="00697094"/>
    <w:rsid w:val="006A33D4"/>
    <w:rsid w:val="006A5AD7"/>
    <w:rsid w:val="006B047F"/>
    <w:rsid w:val="006B12DA"/>
    <w:rsid w:val="006B23B0"/>
    <w:rsid w:val="006B7556"/>
    <w:rsid w:val="006B76E4"/>
    <w:rsid w:val="006C02D2"/>
    <w:rsid w:val="006C76E1"/>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84C87"/>
    <w:rsid w:val="00791BDC"/>
    <w:rsid w:val="00797684"/>
    <w:rsid w:val="00797A38"/>
    <w:rsid w:val="007A2398"/>
    <w:rsid w:val="007B5A95"/>
    <w:rsid w:val="007C2F19"/>
    <w:rsid w:val="007C4070"/>
    <w:rsid w:val="007C69DE"/>
    <w:rsid w:val="007D1446"/>
    <w:rsid w:val="007D4431"/>
    <w:rsid w:val="007D55DB"/>
    <w:rsid w:val="007E2F64"/>
    <w:rsid w:val="007E5F83"/>
    <w:rsid w:val="007E767B"/>
    <w:rsid w:val="007E7F43"/>
    <w:rsid w:val="007F5938"/>
    <w:rsid w:val="0080175B"/>
    <w:rsid w:val="008059E1"/>
    <w:rsid w:val="008123CF"/>
    <w:rsid w:val="00813580"/>
    <w:rsid w:val="00813ABA"/>
    <w:rsid w:val="00815528"/>
    <w:rsid w:val="00815FE4"/>
    <w:rsid w:val="0082275E"/>
    <w:rsid w:val="00823E1B"/>
    <w:rsid w:val="008245D8"/>
    <w:rsid w:val="00825482"/>
    <w:rsid w:val="00826C44"/>
    <w:rsid w:val="0083043F"/>
    <w:rsid w:val="00830A56"/>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86BC0"/>
    <w:rsid w:val="0089738D"/>
    <w:rsid w:val="008A4FC6"/>
    <w:rsid w:val="008A55AB"/>
    <w:rsid w:val="008B46F2"/>
    <w:rsid w:val="008B6D18"/>
    <w:rsid w:val="008B6FAF"/>
    <w:rsid w:val="008C0DCB"/>
    <w:rsid w:val="008C1AB9"/>
    <w:rsid w:val="008C77BE"/>
    <w:rsid w:val="008D096D"/>
    <w:rsid w:val="008D15E8"/>
    <w:rsid w:val="008D2B06"/>
    <w:rsid w:val="008D45A9"/>
    <w:rsid w:val="008D4ADB"/>
    <w:rsid w:val="008D6865"/>
    <w:rsid w:val="008D6910"/>
    <w:rsid w:val="008E50EF"/>
    <w:rsid w:val="008E5E49"/>
    <w:rsid w:val="008E7348"/>
    <w:rsid w:val="008F0B55"/>
    <w:rsid w:val="008F0C5C"/>
    <w:rsid w:val="008F12DE"/>
    <w:rsid w:val="008F4302"/>
    <w:rsid w:val="008F6051"/>
    <w:rsid w:val="00902FCE"/>
    <w:rsid w:val="0090523B"/>
    <w:rsid w:val="009053E0"/>
    <w:rsid w:val="00906066"/>
    <w:rsid w:val="00910BBC"/>
    <w:rsid w:val="009139BF"/>
    <w:rsid w:val="009166AC"/>
    <w:rsid w:val="0091725A"/>
    <w:rsid w:val="00922EF9"/>
    <w:rsid w:val="00924C4F"/>
    <w:rsid w:val="00925E48"/>
    <w:rsid w:val="009267F3"/>
    <w:rsid w:val="009312C1"/>
    <w:rsid w:val="009337B1"/>
    <w:rsid w:val="00934044"/>
    <w:rsid w:val="009402B3"/>
    <w:rsid w:val="00941CB1"/>
    <w:rsid w:val="009424F0"/>
    <w:rsid w:val="00942953"/>
    <w:rsid w:val="00946123"/>
    <w:rsid w:val="009473B5"/>
    <w:rsid w:val="00947EB6"/>
    <w:rsid w:val="00951A20"/>
    <w:rsid w:val="00952D77"/>
    <w:rsid w:val="00953218"/>
    <w:rsid w:val="00955DF1"/>
    <w:rsid w:val="00956A78"/>
    <w:rsid w:val="009610DD"/>
    <w:rsid w:val="00963344"/>
    <w:rsid w:val="00965706"/>
    <w:rsid w:val="00966AA9"/>
    <w:rsid w:val="00970641"/>
    <w:rsid w:val="00971B4D"/>
    <w:rsid w:val="009724DB"/>
    <w:rsid w:val="009729EF"/>
    <w:rsid w:val="00972D5C"/>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28B5"/>
    <w:rsid w:val="009E436A"/>
    <w:rsid w:val="009F0192"/>
    <w:rsid w:val="009F10E9"/>
    <w:rsid w:val="009F53CF"/>
    <w:rsid w:val="009F5703"/>
    <w:rsid w:val="00A04A49"/>
    <w:rsid w:val="00A05924"/>
    <w:rsid w:val="00A10095"/>
    <w:rsid w:val="00A124E5"/>
    <w:rsid w:val="00A23B97"/>
    <w:rsid w:val="00A26621"/>
    <w:rsid w:val="00A335AF"/>
    <w:rsid w:val="00A37352"/>
    <w:rsid w:val="00A37F9F"/>
    <w:rsid w:val="00A40DA0"/>
    <w:rsid w:val="00A41E8A"/>
    <w:rsid w:val="00A447ED"/>
    <w:rsid w:val="00A44DFE"/>
    <w:rsid w:val="00A501B7"/>
    <w:rsid w:val="00A52F2C"/>
    <w:rsid w:val="00A563D2"/>
    <w:rsid w:val="00A64D5D"/>
    <w:rsid w:val="00A70087"/>
    <w:rsid w:val="00A72E25"/>
    <w:rsid w:val="00A73AF2"/>
    <w:rsid w:val="00A82614"/>
    <w:rsid w:val="00A846B8"/>
    <w:rsid w:val="00A84C9A"/>
    <w:rsid w:val="00A87BDD"/>
    <w:rsid w:val="00A90FF3"/>
    <w:rsid w:val="00A92FFF"/>
    <w:rsid w:val="00A96FBD"/>
    <w:rsid w:val="00A978FD"/>
    <w:rsid w:val="00AA0B75"/>
    <w:rsid w:val="00AA0C0B"/>
    <w:rsid w:val="00AA3734"/>
    <w:rsid w:val="00AA6CE0"/>
    <w:rsid w:val="00AB251C"/>
    <w:rsid w:val="00AB4DF7"/>
    <w:rsid w:val="00AC1992"/>
    <w:rsid w:val="00AC359E"/>
    <w:rsid w:val="00AD001F"/>
    <w:rsid w:val="00AD065D"/>
    <w:rsid w:val="00AD573E"/>
    <w:rsid w:val="00AE01FA"/>
    <w:rsid w:val="00AE0F46"/>
    <w:rsid w:val="00AE115A"/>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0ACF"/>
    <w:rsid w:val="00B91413"/>
    <w:rsid w:val="00BA2682"/>
    <w:rsid w:val="00BA5637"/>
    <w:rsid w:val="00BA6A45"/>
    <w:rsid w:val="00BA6B82"/>
    <w:rsid w:val="00BA7B8E"/>
    <w:rsid w:val="00BA7C7D"/>
    <w:rsid w:val="00BB7226"/>
    <w:rsid w:val="00BB7D07"/>
    <w:rsid w:val="00BC037D"/>
    <w:rsid w:val="00BC4C1C"/>
    <w:rsid w:val="00BC62BA"/>
    <w:rsid w:val="00BC711D"/>
    <w:rsid w:val="00BD0219"/>
    <w:rsid w:val="00BD10B2"/>
    <w:rsid w:val="00BD1A8A"/>
    <w:rsid w:val="00BD7AB5"/>
    <w:rsid w:val="00BE1DC2"/>
    <w:rsid w:val="00BE38D4"/>
    <w:rsid w:val="00BE424C"/>
    <w:rsid w:val="00BE7450"/>
    <w:rsid w:val="00BE7FEA"/>
    <w:rsid w:val="00BF44DE"/>
    <w:rsid w:val="00BF7926"/>
    <w:rsid w:val="00C009F9"/>
    <w:rsid w:val="00C04E2A"/>
    <w:rsid w:val="00C06792"/>
    <w:rsid w:val="00C1414C"/>
    <w:rsid w:val="00C17988"/>
    <w:rsid w:val="00C20C04"/>
    <w:rsid w:val="00C23DB6"/>
    <w:rsid w:val="00C328AB"/>
    <w:rsid w:val="00C3475D"/>
    <w:rsid w:val="00C4059F"/>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F7B"/>
    <w:rsid w:val="00C84C5E"/>
    <w:rsid w:val="00C85414"/>
    <w:rsid w:val="00C8562F"/>
    <w:rsid w:val="00C91CE2"/>
    <w:rsid w:val="00C956FD"/>
    <w:rsid w:val="00C97EC6"/>
    <w:rsid w:val="00CA2000"/>
    <w:rsid w:val="00CA4215"/>
    <w:rsid w:val="00CA5411"/>
    <w:rsid w:val="00CA6218"/>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53D"/>
    <w:rsid w:val="00D206FE"/>
    <w:rsid w:val="00D20DFD"/>
    <w:rsid w:val="00D23CED"/>
    <w:rsid w:val="00D244FA"/>
    <w:rsid w:val="00D2625B"/>
    <w:rsid w:val="00D304B3"/>
    <w:rsid w:val="00D31DB3"/>
    <w:rsid w:val="00D339E7"/>
    <w:rsid w:val="00D351C1"/>
    <w:rsid w:val="00D37F00"/>
    <w:rsid w:val="00D416B5"/>
    <w:rsid w:val="00D4469C"/>
    <w:rsid w:val="00D4678A"/>
    <w:rsid w:val="00D471A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7615"/>
    <w:rsid w:val="00DA0661"/>
    <w:rsid w:val="00DA4390"/>
    <w:rsid w:val="00DA468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DF73A4"/>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6"/>
    <w:rsid w:val="00E95FBC"/>
    <w:rsid w:val="00EA0D1C"/>
    <w:rsid w:val="00EA435A"/>
    <w:rsid w:val="00EA5EC1"/>
    <w:rsid w:val="00EB1149"/>
    <w:rsid w:val="00EB53A0"/>
    <w:rsid w:val="00EB647E"/>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51133"/>
    <w:rsid w:val="00F52DAB"/>
    <w:rsid w:val="00F603ED"/>
    <w:rsid w:val="00F6167B"/>
    <w:rsid w:val="00F61E76"/>
    <w:rsid w:val="00F67C85"/>
    <w:rsid w:val="00F72882"/>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37B4"/>
    <w:rsid w:val="00FC43FD"/>
    <w:rsid w:val="00FC490A"/>
    <w:rsid w:val="00FC61DA"/>
    <w:rsid w:val="00FC63B1"/>
    <w:rsid w:val="00FC7291"/>
    <w:rsid w:val="00FD5B20"/>
    <w:rsid w:val="00FD7E4E"/>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55355202">
      <w:bodyDiv w:val="1"/>
      <w:marLeft w:val="0"/>
      <w:marRight w:val="0"/>
      <w:marTop w:val="0"/>
      <w:marBottom w:val="0"/>
      <w:divBdr>
        <w:top w:val="none" w:sz="0" w:space="0" w:color="auto"/>
        <w:left w:val="none" w:sz="0" w:space="0" w:color="auto"/>
        <w:bottom w:val="none" w:sz="0" w:space="0" w:color="auto"/>
        <w:right w:val="none" w:sz="0" w:space="0" w:color="auto"/>
      </w:divBdr>
      <w:divsChild>
        <w:div w:id="778838077">
          <w:marLeft w:val="547"/>
          <w:marRight w:val="0"/>
          <w:marTop w:val="134"/>
          <w:marBottom w:val="0"/>
          <w:divBdr>
            <w:top w:val="none" w:sz="0" w:space="0" w:color="auto"/>
            <w:left w:val="none" w:sz="0" w:space="0" w:color="auto"/>
            <w:bottom w:val="none" w:sz="0" w:space="0" w:color="auto"/>
            <w:right w:val="none" w:sz="0" w:space="0" w:color="auto"/>
          </w:divBdr>
        </w:div>
        <w:div w:id="667053969">
          <w:marLeft w:val="1166"/>
          <w:marRight w:val="0"/>
          <w:marTop w:val="115"/>
          <w:marBottom w:val="0"/>
          <w:divBdr>
            <w:top w:val="none" w:sz="0" w:space="0" w:color="auto"/>
            <w:left w:val="none" w:sz="0" w:space="0" w:color="auto"/>
            <w:bottom w:val="none" w:sz="0" w:space="0" w:color="auto"/>
            <w:right w:val="none" w:sz="0" w:space="0" w:color="auto"/>
          </w:divBdr>
        </w:div>
        <w:div w:id="2023705222">
          <w:marLeft w:val="1166"/>
          <w:marRight w:val="0"/>
          <w:marTop w:val="115"/>
          <w:marBottom w:val="0"/>
          <w:divBdr>
            <w:top w:val="none" w:sz="0" w:space="0" w:color="auto"/>
            <w:left w:val="none" w:sz="0" w:space="0" w:color="auto"/>
            <w:bottom w:val="none" w:sz="0" w:space="0" w:color="auto"/>
            <w:right w:val="none" w:sz="0" w:space="0" w:color="auto"/>
          </w:divBdr>
        </w:div>
        <w:div w:id="676732561">
          <w:marLeft w:val="1800"/>
          <w:marRight w:val="0"/>
          <w:marTop w:val="96"/>
          <w:marBottom w:val="0"/>
          <w:divBdr>
            <w:top w:val="none" w:sz="0" w:space="0" w:color="auto"/>
            <w:left w:val="none" w:sz="0" w:space="0" w:color="auto"/>
            <w:bottom w:val="none" w:sz="0" w:space="0" w:color="auto"/>
            <w:right w:val="none" w:sz="0" w:space="0" w:color="auto"/>
          </w:divBdr>
        </w:div>
        <w:div w:id="1864631413">
          <w:marLeft w:val="1800"/>
          <w:marRight w:val="0"/>
          <w:marTop w:val="96"/>
          <w:marBottom w:val="0"/>
          <w:divBdr>
            <w:top w:val="none" w:sz="0" w:space="0" w:color="auto"/>
            <w:left w:val="none" w:sz="0" w:space="0" w:color="auto"/>
            <w:bottom w:val="none" w:sz="0" w:space="0" w:color="auto"/>
            <w:right w:val="none" w:sz="0" w:space="0" w:color="auto"/>
          </w:divBdr>
        </w:div>
        <w:div w:id="1315449503">
          <w:marLeft w:val="1800"/>
          <w:marRight w:val="0"/>
          <w:marTop w:val="96"/>
          <w:marBottom w:val="0"/>
          <w:divBdr>
            <w:top w:val="none" w:sz="0" w:space="0" w:color="auto"/>
            <w:left w:val="none" w:sz="0" w:space="0" w:color="auto"/>
            <w:bottom w:val="none" w:sz="0" w:space="0" w:color="auto"/>
            <w:right w:val="none" w:sz="0" w:space="0" w:color="auto"/>
          </w:divBdr>
        </w:div>
        <w:div w:id="1543246190">
          <w:marLeft w:val="547"/>
          <w:marRight w:val="0"/>
          <w:marTop w:val="134"/>
          <w:marBottom w:val="0"/>
          <w:divBdr>
            <w:top w:val="none" w:sz="0" w:space="0" w:color="auto"/>
            <w:left w:val="none" w:sz="0" w:space="0" w:color="auto"/>
            <w:bottom w:val="none" w:sz="0" w:space="0" w:color="auto"/>
            <w:right w:val="none" w:sz="0" w:space="0" w:color="auto"/>
          </w:divBdr>
        </w:div>
        <w:div w:id="1698852892">
          <w:marLeft w:val="547"/>
          <w:marRight w:val="0"/>
          <w:marTop w:val="134"/>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B35D8-071C-4D58-A5F9-ABECF52E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3</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173</cp:revision>
  <dcterms:created xsi:type="dcterms:W3CDTF">2018-01-15T06:05:00Z</dcterms:created>
  <dcterms:modified xsi:type="dcterms:W3CDTF">2018-06-25T06:46:00Z</dcterms:modified>
</cp:coreProperties>
</file>